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1C6F7F6" w14:textId="77777777" w:rsidR="00D95962" w:rsidRDefault="009831C0" w:rsidP="00E820CE">
      <w:pPr>
        <w:pStyle w:val="BodyText"/>
        <w:tabs>
          <w:tab w:val="left" w:pos="2552"/>
        </w:tabs>
      </w:pPr>
      <w:proofErr w:type="gramStart"/>
      <w:r>
        <w:t>e</w:t>
      </w:r>
      <w:proofErr w:type="gramEnd"/>
      <w:r>
        <w:t>-NAV</w:t>
      </w:r>
      <w:r w:rsidR="00B20031">
        <w:t>1</w:t>
      </w:r>
      <w:r w:rsidR="0002282D">
        <w:t>2</w:t>
      </w:r>
      <w:r w:rsidR="0092692B">
        <w:tab/>
      </w:r>
      <w:r w:rsidR="00A0389B">
        <w:t xml:space="preserve">Information </w:t>
      </w:r>
      <w:r w:rsidR="001C44A3">
        <w:t>paper</w:t>
      </w:r>
      <w:r w:rsidR="00A0389B">
        <w:t xml:space="preserve"> </w:t>
      </w:r>
    </w:p>
    <w:p w14:paraId="69235941" w14:textId="77777777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EE7806" w:rsidRPr="00EE7963">
        <w:t>12.1</w:t>
      </w:r>
    </w:p>
    <w:p w14:paraId="0C23F7FF" w14:textId="77777777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14:paraId="5AED9BE5" w14:textId="77777777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proofErr w:type="spellStart"/>
      <w:r w:rsidR="007D6E7D">
        <w:t>Jeppesen</w:t>
      </w:r>
      <w:proofErr w:type="spellEnd"/>
      <w:r w:rsidR="00B46A50">
        <w:t xml:space="preserve">, </w:t>
      </w:r>
      <w:r w:rsidR="0048575C">
        <w:t>IHO SNPWG</w:t>
      </w:r>
    </w:p>
    <w:p w14:paraId="68828B1D" w14:textId="77777777" w:rsidR="00A446C9" w:rsidRDefault="009111F6" w:rsidP="00A446C9">
      <w:pPr>
        <w:pStyle w:val="Title"/>
      </w:pPr>
      <w:r>
        <w:t>Developing a Product Specification for Marine Protected Areas</w:t>
      </w:r>
    </w:p>
    <w:p w14:paraId="731FB917" w14:textId="77777777" w:rsidR="00A446C9" w:rsidRDefault="00A446C9" w:rsidP="00A446C9">
      <w:pPr>
        <w:pStyle w:val="Heading1"/>
      </w:pPr>
      <w:r>
        <w:t>Summary</w:t>
      </w:r>
    </w:p>
    <w:p w14:paraId="230C943A" w14:textId="77777777" w:rsidR="00BD4E6F" w:rsidRDefault="009111F6" w:rsidP="00B56BDF">
      <w:pPr>
        <w:pStyle w:val="BodyText"/>
      </w:pPr>
      <w:r>
        <w:t xml:space="preserve">This paper describes the experience of the IHO Standardization of Nautical Publications working group (SNPWG) with developing an S-100 conformant product specification for </w:t>
      </w:r>
      <w:r w:rsidR="00E76343">
        <w:t>Marine Protected Areas (MPA)</w:t>
      </w:r>
      <w:r>
        <w:t xml:space="preserve">. </w:t>
      </w:r>
      <w:proofErr w:type="gramStart"/>
      <w:r>
        <w:t xml:space="preserve">This was done </w:t>
      </w:r>
      <w:r w:rsidR="00747648">
        <w:t>by</w:t>
      </w:r>
      <w:r>
        <w:t xml:space="preserve"> </w:t>
      </w:r>
      <w:r w:rsidR="00421AC7">
        <w:t xml:space="preserve">applying </w:t>
      </w:r>
      <w:r>
        <w:t>S-100</w:t>
      </w:r>
      <w:proofErr w:type="gramEnd"/>
      <w:r>
        <w:t xml:space="preserve"> and the nautical publications </w:t>
      </w:r>
      <w:r w:rsidR="00421AC7">
        <w:t xml:space="preserve">(NPUBS) </w:t>
      </w:r>
      <w:r>
        <w:t xml:space="preserve">data model developed by SNPWG to </w:t>
      </w:r>
      <w:r w:rsidR="00421AC7">
        <w:t>creating</w:t>
      </w:r>
      <w:r w:rsidR="002D2BA3">
        <w:t xml:space="preserve"> a draft product specification </w:t>
      </w:r>
      <w:r w:rsidR="00EA7454">
        <w:fldChar w:fldCharType="begin"/>
      </w:r>
      <w:r w:rsidR="002D2BA3">
        <w:instrText xml:space="preserve"> REF _Ref348513417 \r \h </w:instrText>
      </w:r>
      <w:r w:rsidR="00EA7454">
        <w:fldChar w:fldCharType="separate"/>
      </w:r>
      <w:r w:rsidR="002D2BA3">
        <w:t>[1]</w:t>
      </w:r>
      <w:r w:rsidR="00EA7454">
        <w:fldChar w:fldCharType="end"/>
      </w:r>
      <w:r w:rsidR="002D2BA3">
        <w:t xml:space="preserve"> and</w:t>
      </w:r>
      <w:r w:rsidR="00421AC7">
        <w:t xml:space="preserve"> </w:t>
      </w:r>
      <w:r>
        <w:t>example</w:t>
      </w:r>
      <w:r w:rsidR="002D2BA3">
        <w:t>s</w:t>
      </w:r>
      <w:r>
        <w:t xml:space="preserve"> of S-100 </w:t>
      </w:r>
      <w:r w:rsidR="00E76343">
        <w:t xml:space="preserve">based </w:t>
      </w:r>
      <w:r>
        <w:t>data</w:t>
      </w:r>
      <w:r w:rsidR="002D2BA3">
        <w:t>sets</w:t>
      </w:r>
      <w:r>
        <w:t>.</w:t>
      </w:r>
    </w:p>
    <w:p w14:paraId="349F4C1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E35D73B" w14:textId="77777777" w:rsidR="00E55927" w:rsidRPr="00B56BDF" w:rsidRDefault="009111F6" w:rsidP="00E55927">
      <w:pPr>
        <w:pStyle w:val="BodyText"/>
      </w:pPr>
      <w:r>
        <w:t xml:space="preserve">This paper is </w:t>
      </w:r>
      <w:r w:rsidR="00937BA0">
        <w:t>intended</w:t>
      </w:r>
      <w:r w:rsidR="00421AC7">
        <w:t xml:space="preserve"> as an experience report </w:t>
      </w:r>
      <w:r>
        <w:t xml:space="preserve">for </w:t>
      </w:r>
      <w:r w:rsidR="00937BA0">
        <w:t xml:space="preserve">information and </w:t>
      </w:r>
      <w:r>
        <w:t xml:space="preserve">use by </w:t>
      </w:r>
      <w:r w:rsidR="00DC7764">
        <w:t xml:space="preserve">e-NAV </w:t>
      </w:r>
      <w:r>
        <w:t xml:space="preserve">13 </w:t>
      </w:r>
      <w:r w:rsidR="00DD5211">
        <w:t>WG6 (Data modelling</w:t>
      </w:r>
      <w:r w:rsidR="002F46E2">
        <w:t xml:space="preserve"> WG</w:t>
      </w:r>
      <w:r w:rsidR="00DD5211">
        <w:t>)</w:t>
      </w:r>
      <w:r w:rsidR="00DC7764">
        <w:t xml:space="preserve"> in its discussions.</w:t>
      </w:r>
    </w:p>
    <w:p w14:paraId="528ECEF8" w14:textId="77777777" w:rsidR="00B56BDF" w:rsidRDefault="00B56BDF" w:rsidP="00B56BDF">
      <w:pPr>
        <w:pStyle w:val="Heading2"/>
      </w:pPr>
      <w:r>
        <w:t>Related documents</w:t>
      </w:r>
    </w:p>
    <w:p w14:paraId="4BA6E672" w14:textId="77777777" w:rsidR="007F1453" w:rsidRDefault="006C4ADA" w:rsidP="00876952">
      <w:pPr>
        <w:pStyle w:val="BodyText"/>
      </w:pPr>
      <w:r>
        <w:t>The</w:t>
      </w:r>
      <w:r w:rsidR="00BD126C">
        <w:t xml:space="preserve"> </w:t>
      </w:r>
      <w:r>
        <w:t xml:space="preserve">documents listed below were prepared </w:t>
      </w:r>
      <w:r w:rsidR="007F1453">
        <w:t xml:space="preserve">by </w:t>
      </w:r>
      <w:r w:rsidR="00FB1105">
        <w:t xml:space="preserve">e-NAV </w:t>
      </w:r>
      <w:r w:rsidR="007F1453">
        <w:t xml:space="preserve">working groups at other meetings or </w:t>
      </w:r>
      <w:r>
        <w:t xml:space="preserve">by other </w:t>
      </w:r>
      <w:r w:rsidR="00FB1105">
        <w:t xml:space="preserve">e-NAV </w:t>
      </w:r>
      <w:r w:rsidR="007F1453">
        <w:t>participants/submitters:</w:t>
      </w:r>
    </w:p>
    <w:p w14:paraId="5CE381E6" w14:textId="77777777" w:rsidR="00215B8E" w:rsidRDefault="00215B8E" w:rsidP="00876952">
      <w:pPr>
        <w:pStyle w:val="List1"/>
      </w:pPr>
      <w:proofErr w:type="gramStart"/>
      <w:r>
        <w:t>e</w:t>
      </w:r>
      <w:proofErr w:type="gramEnd"/>
      <w:r>
        <w:t>-NAV13/29: AtoN Information – Draft product specification.</w:t>
      </w:r>
    </w:p>
    <w:p w14:paraId="1EFB3045" w14:textId="77777777" w:rsidR="00215B8E" w:rsidRPr="00215B8E" w:rsidRDefault="00215B8E" w:rsidP="00876952">
      <w:pPr>
        <w:pStyle w:val="List1"/>
      </w:pPr>
      <w:proofErr w:type="gramStart"/>
      <w:r>
        <w:t>e</w:t>
      </w:r>
      <w:proofErr w:type="gramEnd"/>
      <w:r>
        <w:t xml:space="preserve">-NAV12/output/14: </w:t>
      </w:r>
      <w:r w:rsidRPr="00215B8E">
        <w:t>Introduction to preparing S-100 product specifica</w:t>
      </w:r>
      <w:r>
        <w:t>tions (Draft)</w:t>
      </w:r>
      <w:r w:rsidRPr="00215B8E">
        <w:t>, 26 Sep. 2012.</w:t>
      </w:r>
    </w:p>
    <w:p w14:paraId="25778722" w14:textId="77777777" w:rsidR="00A446C9" w:rsidRDefault="00A446C9" w:rsidP="00A446C9">
      <w:pPr>
        <w:pStyle w:val="Heading1"/>
      </w:pPr>
      <w:r>
        <w:t>Background</w:t>
      </w:r>
    </w:p>
    <w:p w14:paraId="7587E270" w14:textId="77777777" w:rsidR="00A446C9" w:rsidRDefault="007D4B63" w:rsidP="00A446C9">
      <w:pPr>
        <w:pStyle w:val="BodyText"/>
      </w:pPr>
      <w:r>
        <w:t xml:space="preserve">The IHO Hydrographic Services and Standards Committee (HSSC) assigned </w:t>
      </w:r>
      <w:r w:rsidR="0037256D">
        <w:t xml:space="preserve">SNPWG </w:t>
      </w:r>
      <w:r>
        <w:t xml:space="preserve">the task of developing </w:t>
      </w:r>
      <w:r w:rsidR="0037256D">
        <w:t xml:space="preserve">a product specification and sample datasets for </w:t>
      </w:r>
      <w:r w:rsidR="00E76343">
        <w:t>MPA</w:t>
      </w:r>
      <w:r w:rsidR="0037256D">
        <w:t xml:space="preserve"> information</w:t>
      </w:r>
      <w:r>
        <w:t xml:space="preserve">. </w:t>
      </w:r>
      <w:r w:rsidR="00B42C68">
        <w:t xml:space="preserve">SNPWG used </w:t>
      </w:r>
      <w:r w:rsidR="00DC7764">
        <w:t xml:space="preserve">the </w:t>
      </w:r>
      <w:r w:rsidR="00E76343">
        <w:t xml:space="preserve">first </w:t>
      </w:r>
      <w:r w:rsidR="00DC7764">
        <w:t>version</w:t>
      </w:r>
      <w:r w:rsidR="00E76343">
        <w:t xml:space="preserve"> (1.0.0)</w:t>
      </w:r>
      <w:r w:rsidR="00DC7764">
        <w:t xml:space="preserve"> of the S-100 standard</w:t>
      </w:r>
      <w:r w:rsidR="006C4ADA">
        <w:t xml:space="preserve"> </w:t>
      </w:r>
      <w:r w:rsidR="00EA7454">
        <w:fldChar w:fldCharType="begin"/>
      </w:r>
      <w:r w:rsidR="006C4ADA">
        <w:instrText xml:space="preserve"> REF _Ref348512948 \r \h </w:instrText>
      </w:r>
      <w:r w:rsidR="00EA7454">
        <w:fldChar w:fldCharType="separate"/>
      </w:r>
      <w:r w:rsidR="006C4ADA">
        <w:t>[3]</w:t>
      </w:r>
      <w:r w:rsidR="00EA7454">
        <w:fldChar w:fldCharType="end"/>
      </w:r>
      <w:r w:rsidR="00DC7764">
        <w:t xml:space="preserve"> and the </w:t>
      </w:r>
      <w:r w:rsidR="0037256D">
        <w:t xml:space="preserve">nautical publications information model developed by SNPWG </w:t>
      </w:r>
      <w:r w:rsidR="00B42C68">
        <w:t xml:space="preserve">to prepare a draft product specification and sample datasets, and used the work to evaluate the S-100 </w:t>
      </w:r>
      <w:r w:rsidR="00FB1105">
        <w:t xml:space="preserve">data model </w:t>
      </w:r>
      <w:r w:rsidR="0037256D">
        <w:t>and explor</w:t>
      </w:r>
      <w:r w:rsidR="00D617CF">
        <w:t>e</w:t>
      </w:r>
      <w:r w:rsidR="0037256D">
        <w:t xml:space="preserve"> the production issues </w:t>
      </w:r>
      <w:r w:rsidR="00B42C68">
        <w:t>involved in</w:t>
      </w:r>
      <w:r w:rsidR="0037256D">
        <w:t xml:space="preserve"> preparing </w:t>
      </w:r>
      <w:r w:rsidR="00B42C68">
        <w:t>S-100</w:t>
      </w:r>
      <w:r w:rsidR="00FB1105">
        <w:t>-based</w:t>
      </w:r>
      <w:r w:rsidR="00B42C68">
        <w:t xml:space="preserve"> </w:t>
      </w:r>
      <w:r w:rsidR="0037256D">
        <w:t>data products</w:t>
      </w:r>
      <w:r w:rsidR="00937BA0">
        <w:t>.</w:t>
      </w:r>
    </w:p>
    <w:p w14:paraId="7906E0A4" w14:textId="77777777" w:rsidR="00A446C9" w:rsidRDefault="00A446C9" w:rsidP="00A446C9">
      <w:pPr>
        <w:pStyle w:val="Heading1"/>
      </w:pPr>
      <w:r>
        <w:t>Discussion</w:t>
      </w:r>
    </w:p>
    <w:p w14:paraId="17E4DA75" w14:textId="77777777" w:rsidR="00A5221D" w:rsidRDefault="00A5221D" w:rsidP="00A5221D">
      <w:pPr>
        <w:pStyle w:val="Heading2"/>
      </w:pPr>
      <w:r>
        <w:t>Stages of work</w:t>
      </w:r>
    </w:p>
    <w:p w14:paraId="419D7D1E" w14:textId="77777777" w:rsidR="00C60D57" w:rsidRPr="00C60D57" w:rsidRDefault="00C60D57" w:rsidP="00C60D57">
      <w:pPr>
        <w:pStyle w:val="BodyText"/>
      </w:pPr>
      <w:r>
        <w:t>The stages in the development of the MPA product specification were as follows.</w:t>
      </w:r>
    </w:p>
    <w:p w14:paraId="51D5ADBB" w14:textId="77777777" w:rsidR="001F30CA" w:rsidRDefault="001D774A" w:rsidP="00876952">
      <w:pPr>
        <w:pStyle w:val="List1"/>
        <w:numPr>
          <w:ilvl w:val="0"/>
          <w:numId w:val="43"/>
        </w:numPr>
      </w:pPr>
      <w:bookmarkStart w:id="0" w:name="_GoBack"/>
      <w:bookmarkEnd w:id="0"/>
      <w:r>
        <w:t>Need identification</w:t>
      </w:r>
      <w:r w:rsidR="00BA324C">
        <w:t xml:space="preserve">: </w:t>
      </w:r>
      <w:r w:rsidR="00B66494">
        <w:t xml:space="preserve">The need for an independent data product describing marine </w:t>
      </w:r>
      <w:r w:rsidR="00C07334">
        <w:t>environmental</w:t>
      </w:r>
      <w:r w:rsidR="00B66494">
        <w:t xml:space="preserve"> </w:t>
      </w:r>
      <w:r w:rsidR="00C07334">
        <w:t>protection</w:t>
      </w:r>
      <w:r w:rsidR="00B66494">
        <w:t xml:space="preserve"> information was identified by discussion in </w:t>
      </w:r>
      <w:r w:rsidR="00B42C68">
        <w:t>IHO HSSC and its working groups</w:t>
      </w:r>
      <w:r w:rsidR="0048575C">
        <w:t>. The task of developing the specification was initially assigned to another working group and transferred</w:t>
      </w:r>
      <w:r w:rsidR="00B42C68">
        <w:t xml:space="preserve"> to SNPWG</w:t>
      </w:r>
      <w:r w:rsidR="0048575C">
        <w:t xml:space="preserve"> after deciding that the product was more aligned with the domain of SNPWG</w:t>
      </w:r>
      <w:r w:rsidR="00B66494">
        <w:t>.</w:t>
      </w:r>
    </w:p>
    <w:p w14:paraId="0D76C3DE" w14:textId="77777777" w:rsidR="00AF089B" w:rsidRDefault="001D774A" w:rsidP="00C60D57">
      <w:pPr>
        <w:pStyle w:val="List1"/>
      </w:pPr>
      <w:r>
        <w:t>Scope determination</w:t>
      </w:r>
      <w:r w:rsidR="00BF5CBB">
        <w:t>:</w:t>
      </w:r>
      <w:r w:rsidR="00B66494">
        <w:t xml:space="preserve"> SNPWG domain experts </w:t>
      </w:r>
      <w:r w:rsidR="00A840BA">
        <w:t>determined the scope of the product after examining</w:t>
      </w:r>
      <w:r w:rsidR="00C07334">
        <w:t xml:space="preserve"> </w:t>
      </w:r>
      <w:r w:rsidR="00A840BA">
        <w:t xml:space="preserve">various sources of information, including national </w:t>
      </w:r>
      <w:r w:rsidR="00C07334">
        <w:t>legislation</w:t>
      </w:r>
      <w:r w:rsidR="00A840BA">
        <w:t xml:space="preserve"> and regulations in Germany and the United State and existing online conservation databases such as the World Database on Protected Areas (WDPA)</w:t>
      </w:r>
      <w:r w:rsidR="00C07334">
        <w:t xml:space="preserve">. </w:t>
      </w:r>
      <w:r w:rsidR="000813A5">
        <w:t>Through discussions and working on narrowing the scope</w:t>
      </w:r>
      <w:r w:rsidR="00C07334">
        <w:t>, the decision was to model protected areas specifically</w:t>
      </w:r>
      <w:r w:rsidR="000813A5">
        <w:t>.</w:t>
      </w:r>
    </w:p>
    <w:p w14:paraId="2044C277" w14:textId="77777777" w:rsidR="00B0476B" w:rsidRDefault="00324AE2" w:rsidP="00C60D57">
      <w:pPr>
        <w:pStyle w:val="List1"/>
      </w:pPr>
      <w:r>
        <w:t>Model development:</w:t>
      </w:r>
      <w:r w:rsidR="00BF5CBB">
        <w:t xml:space="preserve"> </w:t>
      </w:r>
      <w:r w:rsidR="000638C1">
        <w:t xml:space="preserve">Appropriate </w:t>
      </w:r>
      <w:r>
        <w:t>concepts</w:t>
      </w:r>
      <w:r w:rsidR="000638C1">
        <w:t xml:space="preserve"> were selected from the NPUBS </w:t>
      </w:r>
      <w:r w:rsidR="00220501">
        <w:t xml:space="preserve">online </w:t>
      </w:r>
      <w:r w:rsidR="001D774A">
        <w:t xml:space="preserve">feature </w:t>
      </w:r>
      <w:r w:rsidR="000638C1">
        <w:t xml:space="preserve">concept dictionary </w:t>
      </w:r>
      <w:r w:rsidR="00EA7454">
        <w:fldChar w:fldCharType="begin"/>
      </w:r>
      <w:r w:rsidR="000638C1">
        <w:instrText xml:space="preserve"> REF _Ref348369299 \n \h </w:instrText>
      </w:r>
      <w:r w:rsidR="00EA7454">
        <w:fldChar w:fldCharType="separate"/>
      </w:r>
      <w:r w:rsidR="000638C1">
        <w:t>[2]</w:t>
      </w:r>
      <w:r w:rsidR="00EA7454">
        <w:fldChar w:fldCharType="end"/>
      </w:r>
      <w:r>
        <w:t xml:space="preserve">, extended </w:t>
      </w:r>
      <w:r w:rsidR="00220501">
        <w:t xml:space="preserve">if necessary, </w:t>
      </w:r>
      <w:r w:rsidR="000638C1">
        <w:t>and an</w:t>
      </w:r>
      <w:r w:rsidR="00DA707A">
        <w:t xml:space="preserve"> UML application schema modelling the MPA domain was developed</w:t>
      </w:r>
      <w:r w:rsidR="007B5F35">
        <w:t>.</w:t>
      </w:r>
    </w:p>
    <w:p w14:paraId="08E50628" w14:textId="77777777" w:rsidR="00A81516" w:rsidRDefault="00A81516" w:rsidP="00B0476B">
      <w:pPr>
        <w:pStyle w:val="List1indent1"/>
      </w:pPr>
      <w:r>
        <w:lastRenderedPageBreak/>
        <w:t>Concept</w:t>
      </w:r>
      <w:r w:rsidR="00324AE2">
        <w:t xml:space="preserve"> selection </w:t>
      </w:r>
      <w:r w:rsidR="007A3ACE">
        <w:t>and</w:t>
      </w:r>
      <w:r w:rsidR="00324AE2">
        <w:t xml:space="preserve"> definition: </w:t>
      </w:r>
      <w:r w:rsidR="004F4353">
        <w:t>The</w:t>
      </w:r>
      <w:r w:rsidR="007B5F35">
        <w:t xml:space="preserve"> NPUBS</w:t>
      </w:r>
      <w:r w:rsidR="00DA707A">
        <w:t xml:space="preserve"> </w:t>
      </w:r>
      <w:r w:rsidR="00324AE2">
        <w:t xml:space="preserve">feature </w:t>
      </w:r>
      <w:r w:rsidR="001D774A">
        <w:t>concept dictionary</w:t>
      </w:r>
      <w:r>
        <w:t xml:space="preserve"> and catalogue on the SNPWG Wiki</w:t>
      </w:r>
      <w:r w:rsidR="00324AE2">
        <w:t xml:space="preserve"> </w:t>
      </w:r>
      <w:r>
        <w:t>already defined the necessary concepts. Concepts from the S-101 (ENC) model were used if available (e.g., “sea area” feature, “name” attribute).</w:t>
      </w:r>
    </w:p>
    <w:p w14:paraId="5529E57A" w14:textId="77777777" w:rsidR="0027535C" w:rsidRDefault="00A81516" w:rsidP="00B0476B">
      <w:pPr>
        <w:pStyle w:val="List1indent1"/>
      </w:pPr>
      <w:r>
        <w:t>Attribute bindings:</w:t>
      </w:r>
      <w:r w:rsidR="0027535C">
        <w:t xml:space="preserve"> </w:t>
      </w:r>
      <w:r>
        <w:t>The suggested attribute bindings on the SNPWG Wiki were used mostly as-is, except that attributes not needed for MPA (e.g., CATSEA) were excluded.</w:t>
      </w:r>
      <w:r w:rsidR="007A3ACE">
        <w:t xml:space="preserve"> Additional attribute bindings were defined if needed</w:t>
      </w:r>
      <w:r w:rsidR="004F4353">
        <w:t xml:space="preserve"> for MPA modeling</w:t>
      </w:r>
      <w:r w:rsidR="007A3ACE">
        <w:t>.</w:t>
      </w:r>
    </w:p>
    <w:p w14:paraId="435554F5" w14:textId="77777777" w:rsidR="00A81516" w:rsidRDefault="00FE3552" w:rsidP="00B0476B">
      <w:pPr>
        <w:pStyle w:val="List1indent1"/>
      </w:pPr>
      <w:r>
        <w:t>A</w:t>
      </w:r>
      <w:r w:rsidR="00A81516">
        <w:t xml:space="preserve">ssociations: </w:t>
      </w:r>
      <w:r w:rsidR="00D617CF">
        <w:t>Only</w:t>
      </w:r>
      <w:r w:rsidR="007A3ACE">
        <w:t xml:space="preserve"> necessary associations </w:t>
      </w:r>
      <w:r w:rsidR="004F4353">
        <w:t>were included in the MPA model</w:t>
      </w:r>
      <w:r w:rsidR="007A3ACE">
        <w:t xml:space="preserve">. Additional </w:t>
      </w:r>
      <w:r w:rsidR="004F4353">
        <w:t>associations</w:t>
      </w:r>
      <w:r w:rsidR="007A3ACE">
        <w:t xml:space="preserve"> were added as </w:t>
      </w:r>
      <w:r w:rsidR="004F4353">
        <w:t>needed</w:t>
      </w:r>
      <w:r w:rsidR="007A3ACE">
        <w:t xml:space="preserve"> (discovered during the testing phase).</w:t>
      </w:r>
    </w:p>
    <w:p w14:paraId="3BA91A77" w14:textId="77777777" w:rsidR="000128B3" w:rsidRDefault="000128B3" w:rsidP="00B0476B">
      <w:pPr>
        <w:pStyle w:val="List1indent1"/>
      </w:pPr>
      <w:r>
        <w:t xml:space="preserve">Geometry: Spatial objects for the MPA domain </w:t>
      </w:r>
      <w:r w:rsidR="0027535C">
        <w:t>are</w:t>
      </w:r>
      <w:r>
        <w:t xml:space="preserve"> limited to surfaces, lines, and points, which means that S-100 Level 3a was appropriate.</w:t>
      </w:r>
      <w:r w:rsidR="0027535C">
        <w:t xml:space="preserve"> There was a discussion of the need for primitives other than those defined in S-100 (specifically, centre-radius geometry, since some protected areas are legally defined in such terms) but </w:t>
      </w:r>
      <w:r w:rsidR="005910AA">
        <w:t xml:space="preserve">as a </w:t>
      </w:r>
      <w:r w:rsidR="000813A5">
        <w:t xml:space="preserve">workaround </w:t>
      </w:r>
      <w:r w:rsidR="0027535C">
        <w:t>centre-radius geometry was modelled as polygons.</w:t>
      </w:r>
    </w:p>
    <w:p w14:paraId="61690A70" w14:textId="77777777" w:rsidR="00324AE2" w:rsidRDefault="00324AE2" w:rsidP="00B0476B">
      <w:pPr>
        <w:pStyle w:val="List1indent1"/>
      </w:pPr>
      <w:r>
        <w:t xml:space="preserve">Application schema: An application schema in UML </w:t>
      </w:r>
      <w:r w:rsidR="007A3ACE">
        <w:t xml:space="preserve">was developed using the classes, attributes and </w:t>
      </w:r>
      <w:r w:rsidR="004F4353">
        <w:t>associations</w:t>
      </w:r>
      <w:r w:rsidR="007A3ACE">
        <w:t xml:space="preserve"> identified</w:t>
      </w:r>
      <w:r w:rsidR="004F4353">
        <w:t xml:space="preserve"> as above</w:t>
      </w:r>
      <w:r>
        <w:t>.</w:t>
      </w:r>
    </w:p>
    <w:p w14:paraId="15C26845" w14:textId="77777777" w:rsidR="00BF5CBB" w:rsidRDefault="00BF5CBB" w:rsidP="00AE13A1">
      <w:pPr>
        <w:pStyle w:val="List1text"/>
      </w:pPr>
      <w:r w:rsidRPr="000813A5">
        <w:rPr>
          <w:u w:val="single"/>
        </w:rPr>
        <w:t>Multiple iterations</w:t>
      </w:r>
      <w:r>
        <w:t xml:space="preserve"> involving both domain and </w:t>
      </w:r>
      <w:r w:rsidR="007A3ACE">
        <w:t>information modelling</w:t>
      </w:r>
      <w:r>
        <w:t xml:space="preserve"> </w:t>
      </w:r>
      <w:r w:rsidR="007A3ACE">
        <w:t>experts</w:t>
      </w:r>
      <w:r w:rsidR="001D774A">
        <w:t xml:space="preserve"> </w:t>
      </w:r>
      <w:r w:rsidR="00DA707A">
        <w:t>were needed</w:t>
      </w:r>
      <w:r w:rsidR="001D774A">
        <w:t xml:space="preserve"> </w:t>
      </w:r>
      <w:r w:rsidR="007A3ACE">
        <w:t>for</w:t>
      </w:r>
      <w:r w:rsidR="001D774A">
        <w:t xml:space="preserve"> this stage. T</w:t>
      </w:r>
      <w:r w:rsidR="00DA707A">
        <w:t>he</w:t>
      </w:r>
      <w:r w:rsidR="001D774A">
        <w:t xml:space="preserve"> concepts, enumerations, feature and information associations, and the application </w:t>
      </w:r>
      <w:r w:rsidR="00DA707A">
        <w:t xml:space="preserve">schema </w:t>
      </w:r>
      <w:r w:rsidR="001D774A">
        <w:t xml:space="preserve">were </w:t>
      </w:r>
      <w:r w:rsidR="00DA707A">
        <w:t xml:space="preserve">further </w:t>
      </w:r>
      <w:r w:rsidR="001D774A">
        <w:t>refined in the mapping, and testing stages</w:t>
      </w:r>
      <w:r>
        <w:t>.</w:t>
      </w:r>
    </w:p>
    <w:p w14:paraId="5E26E306" w14:textId="77777777" w:rsidR="00AF089B" w:rsidRDefault="00324AE2" w:rsidP="00C60D57">
      <w:pPr>
        <w:pStyle w:val="List1"/>
      </w:pPr>
      <w:r>
        <w:t>F</w:t>
      </w:r>
      <w:r w:rsidR="00BF5CBB">
        <w:t>eature catalogue</w:t>
      </w:r>
      <w:r w:rsidR="001D774A">
        <w:t xml:space="preserve"> </w:t>
      </w:r>
      <w:r>
        <w:t>preparation</w:t>
      </w:r>
      <w:r w:rsidR="00BF5CBB">
        <w:t xml:space="preserve">: An XML version of </w:t>
      </w:r>
      <w:r w:rsidR="00446B9E">
        <w:t>a machine-readable</w:t>
      </w:r>
      <w:r w:rsidR="00BF5CBB">
        <w:t xml:space="preserve"> feature catalogue was </w:t>
      </w:r>
      <w:r w:rsidR="00446B9E">
        <w:t>created</w:t>
      </w:r>
      <w:r w:rsidR="00BF5CBB">
        <w:t xml:space="preserve"> by UKHO </w:t>
      </w:r>
      <w:r w:rsidR="00C07334">
        <w:t xml:space="preserve">(using the </w:t>
      </w:r>
      <w:r w:rsidR="00AD202A">
        <w:t xml:space="preserve">beta </w:t>
      </w:r>
      <w:r w:rsidR="00C07334">
        <w:t>TSMAD catalogue builder</w:t>
      </w:r>
      <w:r w:rsidR="00446B9E">
        <w:t xml:space="preserve"> (</w:t>
      </w:r>
      <w:r w:rsidR="00AD202A">
        <w:t xml:space="preserve">still </w:t>
      </w:r>
      <w:r w:rsidR="00446B9E">
        <w:t>under development) and Enterprise Architect data file</w:t>
      </w:r>
      <w:r w:rsidR="00C07334">
        <w:t xml:space="preserve">) </w:t>
      </w:r>
      <w:r w:rsidR="00BF5CBB">
        <w:t>and thence a printable (HTML) version of the feature catalogue</w:t>
      </w:r>
      <w:r w:rsidR="00C07334">
        <w:t xml:space="preserve"> was generated with XSL transforms</w:t>
      </w:r>
      <w:r w:rsidR="00BF5CBB">
        <w:t>.</w:t>
      </w:r>
    </w:p>
    <w:p w14:paraId="14E053B8" w14:textId="77777777" w:rsidR="00B0476B" w:rsidRDefault="00B0476B" w:rsidP="00C60D57">
      <w:pPr>
        <w:pStyle w:val="List1"/>
      </w:pPr>
      <w:r>
        <w:t xml:space="preserve">Document compilation and editing: </w:t>
      </w:r>
      <w:r w:rsidR="00003D54">
        <w:t>Preparation of the documents embodying of t</w:t>
      </w:r>
      <w:r>
        <w:t xml:space="preserve">he product specification and data capture and encoding guide </w:t>
      </w:r>
      <w:r w:rsidR="00003D54">
        <w:t xml:space="preserve">started after the application schema was reasonably mature. These documents </w:t>
      </w:r>
      <w:r>
        <w:t xml:space="preserve">were </w:t>
      </w:r>
      <w:r w:rsidR="00C401D1">
        <w:t>prepared</w:t>
      </w:r>
      <w:r>
        <w:t xml:space="preserve"> </w:t>
      </w:r>
      <w:r w:rsidR="00C401D1">
        <w:t>based</w:t>
      </w:r>
      <w:r>
        <w:t xml:space="preserve"> </w:t>
      </w:r>
      <w:r w:rsidR="00FD476B">
        <w:t xml:space="preserve">on </w:t>
      </w:r>
      <w:r>
        <w:t xml:space="preserve">Part 11 of S-100 and </w:t>
      </w:r>
      <w:r w:rsidR="004075B4">
        <w:t>drew</w:t>
      </w:r>
      <w:r w:rsidR="00FD476B">
        <w:t xml:space="preserve"> </w:t>
      </w:r>
      <w:r w:rsidR="004075B4">
        <w:t>on</w:t>
      </w:r>
      <w:r w:rsidR="00FD476B">
        <w:t xml:space="preserve"> common material</w:t>
      </w:r>
      <w:r w:rsidR="00C401D1">
        <w:t xml:space="preserve"> </w:t>
      </w:r>
      <w:r w:rsidR="004075B4">
        <w:t>from</w:t>
      </w:r>
      <w:r w:rsidR="00C401D1">
        <w:t xml:space="preserve"> </w:t>
      </w:r>
      <w:r w:rsidR="00F213ED">
        <w:t xml:space="preserve">other, earlier, </w:t>
      </w:r>
      <w:r w:rsidR="00C401D1">
        <w:t>examples of</w:t>
      </w:r>
      <w:r w:rsidR="00F213ED">
        <w:t xml:space="preserve"> product specifications</w:t>
      </w:r>
      <w:r>
        <w:t>.</w:t>
      </w:r>
    </w:p>
    <w:p w14:paraId="7CF87AF4" w14:textId="77777777" w:rsidR="00707994" w:rsidRDefault="00707994" w:rsidP="00C60D57">
      <w:pPr>
        <w:pStyle w:val="List1"/>
      </w:pPr>
      <w:r>
        <w:t>Encoding</w:t>
      </w:r>
      <w:r w:rsidR="00023553">
        <w:t xml:space="preserve"> development</w:t>
      </w:r>
      <w:r>
        <w:t xml:space="preserve">: The MPA </w:t>
      </w:r>
      <w:r w:rsidR="00D617CF">
        <w:t xml:space="preserve">product specification </w:t>
      </w:r>
      <w:r>
        <w:t>specifies use of GML as the principal encoding. The XML schemas for the GML encoding are documented separately.</w:t>
      </w:r>
    </w:p>
    <w:p w14:paraId="6391DCEC" w14:textId="77777777" w:rsidR="00CD1018" w:rsidRDefault="00CD1018" w:rsidP="00C60D57">
      <w:pPr>
        <w:pStyle w:val="List1"/>
      </w:pPr>
      <w:r>
        <w:t xml:space="preserve">Testing: The </w:t>
      </w:r>
      <w:r w:rsidR="007D4B63">
        <w:t>product specification</w:t>
      </w:r>
      <w:r>
        <w:t xml:space="preserve"> was tested and refined by mapping and converting sample data.</w:t>
      </w:r>
    </w:p>
    <w:p w14:paraId="6DD5345B" w14:textId="77777777" w:rsidR="00AF089B" w:rsidRDefault="00CD1018" w:rsidP="00CD1018">
      <w:pPr>
        <w:pStyle w:val="List1indent1"/>
      </w:pPr>
      <w:r>
        <w:t>Mapping: Examples selected by SNPWG domain experts were mapped to the application schema’s and feature catalogue’s entity/attribute conceptual model by the domain experts</w:t>
      </w:r>
      <w:r w:rsidR="000E2971">
        <w:t xml:space="preserve">. </w:t>
      </w:r>
      <w:r>
        <w:t xml:space="preserve">The process resulted in corrections and refinements of the modelling artefacts (application schema, feature concept dictionary, feature catalogue). </w:t>
      </w:r>
    </w:p>
    <w:p w14:paraId="2746731B" w14:textId="77777777" w:rsidR="000E2971" w:rsidRDefault="000E2971" w:rsidP="00CD1018">
      <w:pPr>
        <w:pStyle w:val="List1indent1"/>
      </w:pPr>
      <w:r>
        <w:t xml:space="preserve">Data conversion: The mapped data was converted from spreadsheets to the GML encoding format by the data conversion team and reviewed by the domain experts. Additional </w:t>
      </w:r>
      <w:r w:rsidR="00F42048">
        <w:t>discrepancies</w:t>
      </w:r>
      <w:r>
        <w:t xml:space="preserve"> in the </w:t>
      </w:r>
      <w:r w:rsidR="00F42048">
        <w:t xml:space="preserve">model and application schema </w:t>
      </w:r>
      <w:r>
        <w:t>were discovered and corrected in this stage.</w:t>
      </w:r>
    </w:p>
    <w:p w14:paraId="54BAA9F3" w14:textId="77777777" w:rsidR="00AF089B" w:rsidRDefault="00756644" w:rsidP="00C60D57">
      <w:pPr>
        <w:pStyle w:val="List1"/>
      </w:pPr>
      <w:r>
        <w:t>Framework verification: The work included evaluation of where</w:t>
      </w:r>
      <w:r w:rsidR="00734E01">
        <w:t xml:space="preserve"> S-</w:t>
      </w:r>
      <w:r>
        <w:t>100 me</w:t>
      </w:r>
      <w:r w:rsidR="00734E01">
        <w:t>t needs</w:t>
      </w:r>
      <w:r>
        <w:t xml:space="preserve"> and where it did not. C</w:t>
      </w:r>
      <w:r w:rsidR="00AF089B">
        <w:t>hange proposal</w:t>
      </w:r>
      <w:r>
        <w:t>s to S-100 are being prepared</w:t>
      </w:r>
      <w:r w:rsidR="00AD202A">
        <w:t>,</w:t>
      </w:r>
      <w:r>
        <w:t xml:space="preserve"> where needs were not met</w:t>
      </w:r>
      <w:r w:rsidR="00AF089B">
        <w:t>.</w:t>
      </w:r>
    </w:p>
    <w:p w14:paraId="1816B2A3" w14:textId="77777777" w:rsidR="00AF089B" w:rsidRDefault="00AC4D7C" w:rsidP="00AF089B">
      <w:pPr>
        <w:pStyle w:val="BodyText"/>
      </w:pPr>
      <w:r>
        <w:t>Figure 1 shows the workflow.</w:t>
      </w:r>
    </w:p>
    <w:p w14:paraId="39CFC526" w14:textId="77777777" w:rsidR="008A55F5" w:rsidRDefault="00876952" w:rsidP="00AF089B">
      <w:pPr>
        <w:pStyle w:val="BodyText"/>
      </w:pPr>
      <w:r>
        <w:pict w14:anchorId="3C40863C">
          <v:group id="_x0000_s1027" style="width:481.9pt;height:646.8pt;mso-position-horizontal-relative:char;mso-position-vertical-relative:line" coordorigin="1134,-3114" coordsize="9638,12936" editas="canvas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134;top:-3114;width:9638;height:12936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0,0l0,21600,21600,21600,21600,0xe">
              <v:stroke joinstyle="miter"/>
              <v:path gradientshapeok="t" o:connecttype="rect"/>
            </v:shapetype>
            <v:shape id="_x0000_s1029" type="#_x0000_t109" style="position:absolute;left:3622;top:-1226;width:1441;height:959;v-text-anchor:middle" fillcolor="#fde9d9 [665]">
              <v:textbox style="mso-next-textbox:#_x0000_s1029">
                <w:txbxContent>
                  <w:p w14:paraId="17758E41" w14:textId="77777777" w:rsidR="00A957E6" w:rsidRPr="00F1581C" w:rsidRDefault="00934176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Determine S</w:t>
                    </w:r>
                    <w:r w:rsidR="00A957E6" w:rsidRPr="00F1581C">
                      <w:rPr>
                        <w:sz w:val="20"/>
                      </w:rPr>
                      <w:t>cope</w:t>
                    </w:r>
                  </w:p>
                </w:txbxContent>
              </v:textbox>
            </v:shape>
            <v:shape id="_x0000_s1039" type="#_x0000_t109" style="position:absolute;left:3622;top:1857;width:1441;height:959;v-text-anchor:middle" fillcolor="#fde9d9 [665]">
              <v:textbox style="mso-next-textbox:#_x0000_s1039">
                <w:txbxContent>
                  <w:p w14:paraId="6D92F55D" w14:textId="77777777" w:rsidR="00934176" w:rsidRPr="00F1581C" w:rsidRDefault="00E97ADD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Feature Catalogue</w:t>
                    </w:r>
                  </w:p>
                </w:txbxContent>
              </v:textbox>
            </v:shape>
            <v:shape id="_x0000_s1040" type="#_x0000_t109" style="position:absolute;left:3622;top:3420;width:1441;height:959;v-text-anchor:middle" fillcolor="#fde9d9 [665]">
              <v:textbox style="mso-next-textbox:#_x0000_s1040">
                <w:txbxContent>
                  <w:p w14:paraId="416BFD1D" w14:textId="77777777" w:rsidR="00934176" w:rsidRPr="00F1581C" w:rsidRDefault="00E97ADD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Prod Spec</w:t>
                    </w:r>
                    <w:r w:rsidR="00934176">
                      <w:rPr>
                        <w:sz w:val="20"/>
                      </w:rPr>
                      <w:t xml:space="preserve"> and DCEG</w:t>
                    </w:r>
                  </w:p>
                </w:txbxContent>
              </v:textbox>
            </v:shape>
            <v:shape id="_x0000_s1041" type="#_x0000_t109" style="position:absolute;left:3622;top:5098;width:1441;height:959;v-text-anchor:middle" fillcolor="#fde9d9 [665]">
              <v:textbox style="mso-next-textbox:#_x0000_s1041">
                <w:txbxContent>
                  <w:p w14:paraId="59199AE1" w14:textId="77777777" w:rsidR="00934176" w:rsidRPr="00F1581C" w:rsidRDefault="00934176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Encoding</w:t>
                    </w:r>
                  </w:p>
                </w:txbxContent>
              </v:textbox>
            </v:shape>
            <v:shape id="_x0000_s1042" type="#_x0000_t109" style="position:absolute;left:3622;top:6726;width:1441;height:959;v-text-anchor:middle" fillcolor="#fde9d9 [665]">
              <v:textbox style="mso-next-textbox:#_x0000_s1042">
                <w:txbxContent>
                  <w:p w14:paraId="2AEBC210" w14:textId="77777777" w:rsidR="00934176" w:rsidRPr="00F1581C" w:rsidRDefault="00934176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Test</w:t>
                    </w:r>
                    <w:r w:rsidR="00E97ADD">
                      <w:rPr>
                        <w:sz w:val="20"/>
                      </w:rPr>
                      <w:t>ing</w:t>
                    </w:r>
                  </w:p>
                </w:txbxContent>
              </v:textbox>
            </v:shape>
            <v:shape id="_x0000_s1043" type="#_x0000_t109" style="position:absolute;left:3622;top:415;width:1441;height:959;v-text-anchor:middle" fillcolor="#fde9d9 [665]">
              <v:textbox style="mso-next-textbox:#_x0000_s1043">
                <w:txbxContent>
                  <w:p w14:paraId="2F654F9D" w14:textId="77777777" w:rsidR="00F37ECF" w:rsidRPr="00F1581C" w:rsidRDefault="00F37ECF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Model</w:t>
                    </w:r>
                    <w:r w:rsidR="00E97ADD">
                      <w:rPr>
                        <w:sz w:val="20"/>
                      </w:rPr>
                      <w:t>ling</w:t>
                    </w:r>
                  </w:p>
                </w:txbxContent>
              </v:textbox>
            </v:shape>
            <v:shape id="_x0000_s1044" type="#_x0000_t109" style="position:absolute;left:3622;top:-2826;width:1441;height:959;v-text-anchor:middle" fillcolor="#fde9d9 [665]">
              <v:textbox style="mso-next-textbox:#_x0000_s1044">
                <w:txbxContent>
                  <w:p w14:paraId="4D614E21" w14:textId="77777777" w:rsidR="00BC410A" w:rsidRPr="00F1581C" w:rsidRDefault="00BC410A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Identify Need</w:t>
                    </w:r>
                  </w:p>
                </w:txbxContent>
              </v:textbox>
            </v:shape>
            <v:shape id="_x0000_s1045" type="#_x0000_t109" style="position:absolute;left:7285;top:1653;width:1441;height:720;v-text-anchor:middle" fillcolor="#fde9d9 [665]">
              <v:textbox style="mso-next-textbox:#_x0000_s1045">
                <w:txbxContent>
                  <w:p w14:paraId="5E853667" w14:textId="77777777" w:rsidR="007645C7" w:rsidRPr="00F1581C" w:rsidRDefault="007645C7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Application </w:t>
                    </w:r>
                    <w:r w:rsidR="00E82A7D">
                      <w:rPr>
                        <w:sz w:val="20"/>
                      </w:rPr>
                      <w:t>schema</w:t>
                    </w:r>
                  </w:p>
                </w:txbxContent>
              </v:textbox>
            </v:shape>
            <v:shape id="_x0000_s1046" type="#_x0000_t109" style="position:absolute;left:7285;top:526;width:1441;height:720;v-text-anchor:middle" fillcolor="#fde9d9 [665]">
              <v:textbox style="mso-next-textbox:#_x0000_s1046">
                <w:txbxContent>
                  <w:p w14:paraId="020FF07D" w14:textId="77777777" w:rsidR="007645C7" w:rsidRPr="00F1581C" w:rsidRDefault="007645C7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Associations</w:t>
                    </w:r>
                  </w:p>
                </w:txbxContent>
              </v:textbox>
            </v:shape>
            <v:shape id="_x0000_s1047" type="#_x0000_t109" style="position:absolute;left:7285;top:-526;width:1441;height:720;v-text-anchor:middle" fillcolor="#fde9d9 [665]">
              <v:textbox style="mso-next-textbox:#_x0000_s1047">
                <w:txbxContent>
                  <w:p w14:paraId="101A793E" w14:textId="77777777" w:rsidR="007645C7" w:rsidRPr="00F1581C" w:rsidRDefault="007645C7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Attribute bindings</w:t>
                    </w:r>
                  </w:p>
                </w:txbxContent>
              </v:textbox>
            </v:shape>
            <v:shape id="_x0000_s1048" type="#_x0000_t109" style="position:absolute;left:7285;top:-1690;width:1441;height:720;v-text-anchor:middle" fillcolor="#fde9d9 [665]">
              <v:textbox style="mso-next-textbox:#_x0000_s1048">
                <w:txbxContent>
                  <w:p w14:paraId="2B77A8B6" w14:textId="77777777" w:rsidR="007645C7" w:rsidRPr="00F1581C" w:rsidRDefault="007645C7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Select concepts</w:t>
                    </w:r>
                  </w:p>
                </w:txbxContent>
              </v:textbox>
            </v:shape>
            <v:shapetype id="_x0000_t34" coordsize="21600,21600" o:spt="34" o:oned="t" adj="10800" path="m0,0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2" type="#_x0000_t34" style="position:absolute;left:5063;top:895;width:2222;height:1118" o:connectortype="elbow" adj="10790,-78846,-49217">
              <v:stroke dashstyle="longDash"/>
            </v:shape>
            <v:shape id="_x0000_s1053" type="#_x0000_t34" style="position:absolute;left:5063;top:886;width:2222;height:9;flip:y" o:connectortype="elbow" adj="10790,9794400,-49217">
              <v:stroke dashstyle="longDash"/>
            </v:shape>
            <v:shape id="_x0000_s1054" type="#_x0000_t34" style="position:absolute;left:5063;top:-166;width:2222;height:1061;flip:y" o:connectortype="elbow" adj="10790,83082,-49217">
              <v:stroke dashstyle="longDash"/>
            </v:shape>
            <v:shape id="_x0000_s1055" type="#_x0000_t34" style="position:absolute;left:5063;top:-1330;width:2222;height:2225;flip:y" o:connectortype="elbow" adj="10790,39618,-49217">
              <v:stroke dashstyle="longDash"/>
            </v:shape>
            <v:shape id="_x0000_s1056" type="#_x0000_t109" style="position:absolute;left:7260;top:7530;width:1441;height:720;v-text-anchor:middle" fillcolor="#fde9d9 [665]">
              <v:textbox style="mso-next-textbox:#_x0000_s1056">
                <w:txbxContent>
                  <w:p w14:paraId="39602175" w14:textId="77777777" w:rsidR="007645C7" w:rsidRPr="00F1581C" w:rsidRDefault="007645C7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Dataset conversion</w:t>
                    </w:r>
                  </w:p>
                </w:txbxContent>
              </v:textbox>
            </v:shape>
            <v:shape id="_x0000_s1057" type="#_x0000_t109" style="position:absolute;left:7260;top:6135;width:1441;height:720;v-text-anchor:middle" fillcolor="#fde9d9 [665]">
              <v:textbox style="mso-next-textbox:#_x0000_s1057">
                <w:txbxContent>
                  <w:p w14:paraId="1B9D839C" w14:textId="77777777" w:rsidR="007645C7" w:rsidRPr="00F1581C" w:rsidRDefault="007645C7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Mapping</w:t>
                    </w:r>
                  </w:p>
                </w:txbxContent>
              </v:textbox>
            </v:shape>
            <v:shape id="_x0000_s1058" type="#_x0000_t34" style="position:absolute;left:5063;top:6495;width:2197;height:711;flip:y" o:connectortype="elbow" adj="10795,315706,-49777">
              <v:stroke dashstyle="longDash"/>
            </v:shape>
            <v:shape id="_x0000_s1059" type="#_x0000_t34" style="position:absolute;left:5063;top:7206;width:2197;height:684" o:connectortype="elbow" adj="10795,-328168,-49777">
              <v:stroke dashstyle="longDash"/>
            </v:shape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_x0000_s1064" type="#_x0000_t32" style="position:absolute;left:4343;top:-1867;width:1;height:641" o:connectortype="straight">
              <v:stroke endarrow="block"/>
            </v:shape>
            <v:shape id="_x0000_s1065" type="#_x0000_t32" style="position:absolute;left:4343;top:-267;width:1;height:682" o:connectortype="straight">
              <v:stroke endarrow="block"/>
            </v:shape>
            <v:shape id="_x0000_s1066" type="#_x0000_t32" style="position:absolute;left:4343;top:1374;width:1;height:483" o:connectortype="straight">
              <v:stroke endarrow="block"/>
            </v:shape>
            <v:shape id="_x0000_s1067" type="#_x0000_t32" style="position:absolute;left:4343;top:2816;width:1;height:604" o:connectortype="straight">
              <v:stroke endarrow="block"/>
            </v:shape>
            <v:shape id="_x0000_s1068" type="#_x0000_t32" style="position:absolute;left:4343;top:4379;width:1;height:719" o:connectortype="straight">
              <v:stroke endarrow="block"/>
            </v:shape>
            <v:shape id="_x0000_s1069" type="#_x0000_t32" style="position:absolute;left:4343;top:6057;width:1;height:669" o:connectortype="straight">
              <v:stroke endarrow="block"/>
            </v:shape>
            <v:shape id="_x0000_s1070" type="#_x0000_t32" style="position:absolute;left:8006;top:-970;width:1;height:444" o:connectortype="straight">
              <v:stroke endarrow="block"/>
            </v:shape>
            <v:shape id="_x0000_s1071" type="#_x0000_t32" style="position:absolute;left:8006;top:194;width:1;height:332" o:connectortype="straight">
              <v:stroke endarrow="block"/>
            </v:shape>
            <v:shape id="_x0000_s1072" type="#_x0000_t32" style="position:absolute;left:8006;top:1246;width:1;height:407" o:connectortype="straight">
              <v:stroke endarrow="block"/>
            </v:shape>
            <v:shape id="_x0000_s1077" type="#_x0000_t32" style="position:absolute;left:7981;top:6855;width:1;height:675" o:connectortype="straight">
              <v:stroke endarrow="block"/>
            </v:shape>
            <v:shape id="_x0000_s1080" type="#_x0000_t34" style="position:absolute;left:8726;top:-1330;width:1;height:3343;flip:y" o:connectortype="elbow" adj="7754400,33592,-188481600">
              <v:stroke endarrow="block"/>
            </v:shape>
            <v:shape id="_x0000_s1081" type="#_x0000_t34" style="position:absolute;left:3622;top:895;width:26;height:7623;rotation:180" o:connectortype="elbow" adj="320677,-33164,-3030646">
              <v:stroke endarrow="block"/>
            </v:shape>
            <v:shapetype id="_x0000_t115" coordsize="21600,21600" o:spt="115" path="m0,20465c810,20782,1620,20917,2397,21190,3077,21325,3790,21417,4405,21597,6025,21597,6607,21417,7062,21325,7580,21280,8002,21010,8455,20917,8877,20782,9265,20512,9782,20375,10205,20150,10657,19967,11080,19742,11597,19560,12050,19335,12505,19152,13087,19017,13605,18745,14255,18610,14870,18430,15517,18292,16197,18202,16975,18202,17785,18022,18595,18022l18595,16352,19192,16252,20000,16252,20000,14467,20722,14392,21597,14392,21597,,2972,,2972,1815,1532,1815,1532,3675,,3675,,20465xem1532,3675nfl18595,3675,18595,16352em2972,1815nfl20000,1815,20000,14467e">
              <v:stroke joinstyle="miter"/>
              <v:path o:extrusionok="f" o:connecttype="custom" o:connectlocs="10800,0;0,10800;10800,19890;21600,10800" textboxrect="0,3675,18595,18022"/>
            </v:shapetype>
            <v:shape id="_x0000_s1086" type="#_x0000_t115" style="position:absolute;left:8701;top:4553;width:1954;height:1216" fillcolor="#daeef3 [664]">
              <v:textbox style="mso-next-textbox:#_x0000_s1086" inset="2.88pt,0,0,0">
                <w:txbxContent>
                  <w:p w14:paraId="084659F2" w14:textId="77777777" w:rsidR="0074266C" w:rsidRPr="00D617CF" w:rsidRDefault="000F6A75" w:rsidP="00ED3C3C">
                    <w:pPr>
                      <w:rPr>
                        <w:sz w:val="18"/>
                        <w:szCs w:val="18"/>
                      </w:rPr>
                    </w:pPr>
                    <w:r w:rsidRPr="00D617CF">
                      <w:rPr>
                        <w:sz w:val="18"/>
                        <w:szCs w:val="18"/>
                      </w:rPr>
                      <w:t xml:space="preserve">Sailing </w:t>
                    </w:r>
                    <w:r w:rsidR="00D617CF" w:rsidRPr="00D617CF">
                      <w:rPr>
                        <w:sz w:val="18"/>
                        <w:szCs w:val="18"/>
                      </w:rPr>
                      <w:t>D</w:t>
                    </w:r>
                    <w:r w:rsidRPr="00D617CF">
                      <w:rPr>
                        <w:sz w:val="18"/>
                        <w:szCs w:val="18"/>
                      </w:rPr>
                      <w:t>ir</w:t>
                    </w:r>
                    <w:r w:rsidR="00D617CF" w:rsidRPr="00D617CF">
                      <w:rPr>
                        <w:sz w:val="18"/>
                        <w:szCs w:val="18"/>
                      </w:rPr>
                      <w:t>ections</w:t>
                    </w:r>
                    <w:r w:rsidRPr="00D617CF">
                      <w:rPr>
                        <w:sz w:val="18"/>
                        <w:szCs w:val="18"/>
                      </w:rPr>
                      <w:t xml:space="preserve">, </w:t>
                    </w:r>
                    <w:r w:rsidR="00D617CF" w:rsidRPr="00D617CF">
                      <w:rPr>
                        <w:sz w:val="18"/>
                        <w:szCs w:val="18"/>
                      </w:rPr>
                      <w:t>R</w:t>
                    </w:r>
                    <w:r w:rsidRPr="00D617CF">
                      <w:rPr>
                        <w:sz w:val="18"/>
                        <w:szCs w:val="18"/>
                      </w:rPr>
                      <w:t xml:space="preserve">adio </w:t>
                    </w:r>
                    <w:r w:rsidR="00D617CF" w:rsidRPr="00D617CF">
                      <w:rPr>
                        <w:sz w:val="18"/>
                        <w:szCs w:val="18"/>
                      </w:rPr>
                      <w:t>S</w:t>
                    </w:r>
                    <w:r w:rsidRPr="00D617CF">
                      <w:rPr>
                        <w:sz w:val="18"/>
                        <w:szCs w:val="18"/>
                      </w:rPr>
                      <w:t xml:space="preserve">ignals, </w:t>
                    </w:r>
                    <w:r w:rsidR="0074266C" w:rsidRPr="00D617CF">
                      <w:rPr>
                        <w:sz w:val="18"/>
                        <w:szCs w:val="18"/>
                      </w:rPr>
                      <w:t>CFR,</w:t>
                    </w:r>
                    <w:r w:rsidRPr="00D617CF">
                      <w:rPr>
                        <w:sz w:val="18"/>
                        <w:szCs w:val="18"/>
                      </w:rPr>
                      <w:t xml:space="preserve"> </w:t>
                    </w:r>
                    <w:r w:rsidR="0074266C" w:rsidRPr="00D617CF">
                      <w:rPr>
                        <w:sz w:val="18"/>
                        <w:szCs w:val="18"/>
                        <w:lang w:val="de-DE"/>
                      </w:rPr>
                      <w:t>SeeSchStrO</w:t>
                    </w:r>
                  </w:p>
                </w:txbxContent>
              </v:textbox>
            </v:shape>
            <v:shape id="_x0000_s1087" type="#_x0000_t32" style="position:absolute;left:7981;top:5161;width:720;height:974;flip:x" o:connectortype="straight">
              <v:stroke dashstyle="longDash" endarrow="block"/>
            </v:shape>
            <v:shape id="_x0000_s1088" type="#_x0000_t115" style="position:absolute;left:9191;top:8250;width:1581;height:825" fillcolor="#f2dbdb [661]">
              <v:textbox style="mso-next-textbox:#_x0000_s1088">
                <w:txbxContent>
                  <w:p w14:paraId="15EAF0BA" w14:textId="77777777" w:rsidR="0074266C" w:rsidRPr="0074266C" w:rsidRDefault="0074266C" w:rsidP="00ED3C3C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XML exchange set</w:t>
                    </w:r>
                  </w:p>
                </w:txbxContent>
              </v:textbox>
            </v:shape>
            <v:shape id="_x0000_s1089" type="#_x0000_t32" style="position:absolute;left:7981;top:8250;width:1210;height:413" o:connectortype="straight">
              <v:stroke dashstyle="longDash" endarrow="block"/>
            </v:shape>
            <v:shape id="_x0000_s1090" type="#_x0000_t115" style="position:absolute;left:1353;top:-2302;width:1677;height:1076" fillcolor="#daeef3 [664]">
              <v:textbox style="mso-next-textbox:#_x0000_s1090">
                <w:txbxContent>
                  <w:p w14:paraId="3A918F03" w14:textId="77777777" w:rsidR="00E934E5" w:rsidRPr="0074266C" w:rsidRDefault="00E934E5" w:rsidP="00ED3C3C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sz w:val="18"/>
                        <w:szCs w:val="18"/>
                      </w:rPr>
                      <w:t>publications</w:t>
                    </w:r>
                    <w:proofErr w:type="gramEnd"/>
                    <w:r>
                      <w:rPr>
                        <w:sz w:val="18"/>
                        <w:szCs w:val="18"/>
                      </w:rPr>
                      <w:t>, regulations, WDPA</w:t>
                    </w:r>
                  </w:p>
                </w:txbxContent>
              </v:textbox>
            </v:shape>
            <v:shape id="_x0000_s1091" type="#_x0000_t32" style="position:absolute;left:3030;top:-1764;width:592;height:1018" o:connectortype="straight">
              <v:stroke dashstyle="longDash" endarrow="block"/>
            </v:shape>
            <v:shape id="_x0000_s1092" type="#_x0000_t32" style="position:absolute;left:3030;top:-1764;width:488;height:2177" o:connectortype="straight">
              <v:stroke dashstyle="longDash" endarrow="block"/>
            </v:shape>
            <v:shape id="_x0000_s1096" type="#_x0000_t32" style="position:absolute;left:2392;top:318;width:1139;height:127" o:connectortype="straight">
              <v:stroke dashstyle="longDash" endarrow="block"/>
            </v:shape>
            <v:shape id="_x0000_s1098" type="#_x0000_t109" style="position:absolute;left:7291;top:2881;width:1441;height:720;v-text-anchor:middle" fillcolor="#fde9d9 [665]">
              <v:textbox style="mso-next-textbox:#_x0000_s1098">
                <w:txbxContent>
                  <w:p w14:paraId="08BF8674" w14:textId="77777777" w:rsidR="00B26115" w:rsidRPr="00F1581C" w:rsidRDefault="00B26115" w:rsidP="00ED3C3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Geometry</w:t>
                    </w:r>
                  </w:p>
                </w:txbxContent>
              </v:textbox>
            </v:shape>
            <v:shape id="_x0000_s1099" type="#_x0000_t34" style="position:absolute;left:5063;top:895;width:2228;height:2346" o:connectortype="elbow" adj="10790,-37574,-49085">
              <v:stroke dashstyle="longDash"/>
            </v:shape>
            <v:shape id="_x0000_s1100" type="#_x0000_t32" style="position:absolute;left:8006;top:2373;width:6;height:508;flip:x y" o:connectortype="straight">
              <v:stroke endarrow="block"/>
            </v:shape>
            <v:shape id="_x0000_s1101" type="#_x0000_t34" style="position:absolute;left:8726;top:-166;width:1;height:2179;flip:y" o:connectortype="elbow" adj="7754400,51537,-188481600">
              <v:stroke endarrow="block"/>
            </v:shape>
            <v:shape id="_x0000_s1102" type="#_x0000_t34" style="position:absolute;left:8726;top:886;width:1;height:1127;flip:y" o:connectortype="elbow" adj="7754400,99644,-188481600">
              <v:stroke endarrow="block"/>
            </v:shape>
            <v:shapetype id="_x0000_t132" coordsize="21600,21600" o:spt="132" path="m10800,0qx0,3391l0,18209qy10800,21600,21600,18209l21600,3391qy10800,0xem0,3391nfqy10800,6782,21600,3391e">
              <v:path o:extrusionok="f" gradientshapeok="t" o:connecttype="custom" o:connectlocs="10800,6782;10800,0;0,10800;10800,21600;21600,10800" o:connectangles="270,270,180,90,0" textboxrect="0,6782,21600,18209"/>
            </v:shapetype>
            <v:shape id="_x0000_s1105" type="#_x0000_t132" style="position:absolute;left:1340;top:510;width:1139;height:401" fillcolor="#d6e3bc [1302]" strokecolor="black [3213]">
              <v:fill opacity=".5"/>
            </v:shape>
            <v:shape id="Webpage" o:spid="_x0000_s1095" style="position:absolute;left:1429;top:-135;width:963;height:905;v-text-anchor:middle" coordsize="21600,21600" o:spt="100" adj="-11796480,,5400" path="m9184,949l9758,1309,11544,1292,12437,1292,13414,1161,13648,1243,13542,1390,13967,1849,14562,2520,14669,3223,14796,3518,15264,3665,15753,3518,15902,2978,16008,2323m10757,21632l5187,21632,85,17509,85,10849,85,81,10757,81,21706,81,21706,10652,21706,21632,10757,21632xem85,17509l5187,17509,5187,21632,85,17509xem5591,10620l6122,10996,6696,11340,7313,11618,7972,11863,8652,12060,9396,12190,10119,12272,10906,12305,11650,12272,12373,12190,13117,12060,13797,11863,14456,11618,15073,11340,15647,11029,16178,10652,16667,10243,17071,9801,17475,9327,17815,8820,18049,8296,18262,7723,18347,7134,18389,6561,18347,5956,18262,5400,18049,4827,17815,4303,17475,3796,17114,3321,16710,2880,16221,2470,15689,2094,15115,1750,14499,1472,13797,1227,13117,1030,12415,883,11650,818,10906,785,10119,818,9396,883,8652,1030,8014,1227,7355,1440,6739,1750,6122,2061,5591,2438,5102,2847,4698,3289,4294,3763,3996,4270,3720,4794,3550,5367,3422,5956,3380,6561,3422,7134,3550,7690,3720,8263,3954,8787,4294,9294,4655,9769,5102,10210,5591,10620xem3401,6021l4039,5530,4294,4892,4677,4156,5166,3763,5378,3354,5293,2732m3507,7380l3890,7200,4103,7249,4400,7527,4719,7674,5293,7641,5740,7543,6144,7543,6526,7821,6569,8312,6059,8852,5803,8967,5803,9147,5421,9294,4868,9163,4337,9049,4081,9000m14988,11372l15115,10865,16072,10096,16455,9605,16455,8329,17156,7969,17879,7870,18177,7821m18368,6840l18049,6610,17411,6512,16859,6545,16603,6201,16731,5874,17241,5465,17858,5236,18007,5089,18049,4892m8100,1260c8333,1276,8206,1554,8695,1652,9184,1750,10481,1685,10991,1881,11501,2078,11629,2503,11799,2830,11969,3158,11905,3910,12054,3894,12203,3878,12351,2880,12649,2683,12947,2487,13670,2536,13840,2683,14010,2830,13733,3370,13648,3616,13563,3861,13457,4058,13351,4156,13244,4254,13096,4221,12947,4254,12777,4303,12585,4369,12394,4401,12139,4500,12054,4614,11862,4647,11650,4761,11671,4680,11437,4778,11352,4827,11225,4974,11246,5072,11225,5154,11267,5220,11310,5269,11352,5318,11480,5383,11565,5416,11629,5400,11820,5465,11862,5432,11905,5416,11926,5269,11884,5236,11841,5203,11629,5269,11565,5220,11480,5187,11459,5040,11480,4974,11501,4909,11607,4860,11692,4843,11905,4876,11820,4876,12054,4876,12075,5040,12096,5269,12139,5416,12160,5465,12330,5465,12373,5416,12415,5367,12330,4974,12394,4892,12458,4810,12692,4925,12755,4892,12798,4860,12840,4761,12755,4729,12670,4696,12118,4745,12203,4696,12543,4549,12819,4434,13266,4401,13436,4385,13585,4500,13776,4532,13967,4630,13861,4843,13712,4925,13648,5023,13521,5121,13414,5187,13351,5285,13287,5334,13159,5383,13117,5563,12862,5743,12649,5809,12543,5907,12437,5940,12309,6005,12245,6120,12139,6185,12075,6300,12118,6561,12075,6643,12373,6741,12500,6840,12522,6970,12330,7036,12011,6987,12033,6823,11799,6692,11714,6529,11459,6430,11246,6398,11076,6332,11182,6365,10906,6365,10608,6512,10544,7347,11246,7478,12394,7429,13329,7772,13733,7985,13840,8410,13329,8901,12500,9343,11629,9736,11480,10194,11246,10980,10991,11372,10481,10930,10289,10096,10140,9196,9907,8165,10459,7576,9375,6790,9269,6070,9056,6218,9205,6987,8929,6660,8737,6021,8822,5023,8610,4385,8440,3550l7844,2290,6654,1849e" fillcolor="#b6dde8 [1304]">
              <v:fill opacity=".5"/>
              <v:stroke joinstyle="miter"/>
              <v:formulas/>
              <v:path o:extrusionok="f" o:connecttype="custom" o:connectlocs="5187,21600;0,17509;21600,0;0,0;10800,0;21600,0;21600,10800;21600,21600;10800,21600;0,10800" textboxrect="1955,12829,19814,20749"/>
              <o:lock v:ext="edit" verticies="t"/>
              <v:textbox inset="0,,0">
                <w:txbxContent>
                  <w:p w14:paraId="2878ED5A" w14:textId="77777777" w:rsidR="00FB50D3" w:rsidRPr="00FB50D3" w:rsidRDefault="00FB50D3" w:rsidP="00ED3C3C">
                    <w:pPr>
                      <w:jc w:val="center"/>
                      <w:rPr>
                        <w:b/>
                        <w:color w:val="FF0000"/>
                        <w:sz w:val="20"/>
                        <w:szCs w:val="20"/>
                      </w:rPr>
                    </w:pPr>
                    <w:r w:rsidRPr="00FB50D3">
                      <w:rPr>
                        <w:b/>
                        <w:color w:val="FF0000"/>
                        <w:sz w:val="20"/>
                        <w:szCs w:val="20"/>
                      </w:rPr>
                      <w:t>SNPWG</w:t>
                    </w:r>
                  </w:p>
                </w:txbxContent>
              </v:textbox>
            </v:shape>
            <v:shapetype id="_x0000_t110" coordsize="21600,21600" o:spt="110" path="m10800,0l0,10800,10800,21600,21600,10800xe">
              <v:stroke joinstyle="miter"/>
              <v:path gradientshapeok="t" o:connecttype="rect" textboxrect="5400,5400,16200,16200"/>
            </v:shapetype>
            <v:shape id="_x0000_s1108" type="#_x0000_t110" style="position:absolute;left:3648;top:8200;width:1395;height:635;mso-wrap-style:none;v-text-anchor:middle" fillcolor="#fde9d9 [665]">
              <v:textbox inset="0,0,0,0">
                <w:txbxContent>
                  <w:p w14:paraId="397F1930" w14:textId="77777777" w:rsidR="00350EAC" w:rsidRPr="00EB517B" w:rsidRDefault="00350EAC" w:rsidP="00ED3C3C">
                    <w:pPr>
                      <w:rPr>
                        <w:sz w:val="20"/>
                        <w:szCs w:val="20"/>
                      </w:rPr>
                    </w:pPr>
                    <w:r w:rsidRPr="00EB517B">
                      <w:rPr>
                        <w:sz w:val="20"/>
                        <w:szCs w:val="20"/>
                      </w:rPr>
                      <w:t>Refine?</w:t>
                    </w:r>
                  </w:p>
                </w:txbxContent>
              </v:textbox>
            </v:shape>
            <v:shape id="_x0000_s1109" type="#_x0000_t32" style="position:absolute;left:4343;top:7685;width:3;height:515" o:connectortype="straight">
              <v:stroke endarrow="block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0" type="#_x0000_t202" style="position:absolute;left:3460;top:8280;width:121;height:207;mso-wrap-style:none;v-text-anchor:middle" stroked="f">
              <v:textbox style="mso-fit-shape-to-text:t" inset="0,0,0,0">
                <w:txbxContent>
                  <w:p w14:paraId="0D270B1F" w14:textId="77777777" w:rsidR="00BA337A" w:rsidRPr="00BA337A" w:rsidRDefault="00BA337A" w:rsidP="00ED3C3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A337A">
                      <w:rPr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v:shapetype id="_x0000_t116" coordsize="21600,21600" o:spt="116" path="m3475,0qx0,10800,3475,21600l18125,21600qx21600,10800,18125,0xe">
              <v:stroke joinstyle="miter"/>
              <v:path gradientshapeok="t" o:connecttype="rect" textboxrect="1018,3163,20582,18437"/>
            </v:shapetype>
            <v:shape id="_x0000_s1111" type="#_x0000_t116" style="position:absolute;left:3954;top:9170;width:787;height:340;v-text-anchor:middle" fillcolor="#fde9d9 [665]">
              <v:textbox style="mso-fit-shape-to-text:t" inset="0,0,0,0">
                <w:txbxContent>
                  <w:p w14:paraId="61916535" w14:textId="77777777" w:rsidR="00BA337A" w:rsidRPr="00BA337A" w:rsidRDefault="003574F5" w:rsidP="00ED3C3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A337A">
                      <w:rPr>
                        <w:sz w:val="20"/>
                        <w:szCs w:val="20"/>
                      </w:rPr>
                      <w:t>Exit</w:t>
                    </w:r>
                  </w:p>
                </w:txbxContent>
              </v:textbox>
            </v:shape>
            <v:shape id="_x0000_s1112" type="#_x0000_t32" style="position:absolute;left:4346;top:8835;width:2;height:335" o:connectortype="straight">
              <v:stroke endarrow="block"/>
            </v:shape>
            <v:shape id="_x0000_s1113" type="#_x0000_t202" style="position:absolute;left:4415;top:8856;width:130;height:207;mso-wrap-style:none;v-text-anchor:middle" stroked="f">
              <v:textbox style="mso-fit-shape-to-text:t" inset="0,0,0,0">
                <w:txbxContent>
                  <w:p w14:paraId="5722E340" w14:textId="77777777" w:rsidR="00ED3C3C" w:rsidRPr="00BA337A" w:rsidRDefault="00ED3C3C" w:rsidP="00ED3C3C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72CB038A" w14:textId="77777777" w:rsidR="00855074" w:rsidRDefault="00876952" w:rsidP="00AF089B">
      <w:pPr>
        <w:pStyle w:val="BodyText"/>
      </w:pPr>
      <w:r>
        <w:rPr>
          <w:noProof/>
        </w:rPr>
        <w:pict w14:anchorId="126A81D1">
          <v:shape id="_x0000_s1083" type="#_x0000_t202" style="position:absolute;left:0;text-align:left;margin-left:0;margin-top:0;width:481.9pt;height:22.65pt;z-index:251660288" stroked="f">
            <v:textbox style="mso-fit-shape-to-text:t" inset="0,0,0,0">
              <w:txbxContent>
                <w:p w14:paraId="507CC614" w14:textId="77777777" w:rsidR="000D6A10" w:rsidRPr="000D6A10" w:rsidRDefault="000D6A10" w:rsidP="000D6A10">
                  <w:pPr>
                    <w:pStyle w:val="Caption"/>
                    <w:jc w:val="center"/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</w:pPr>
                  <w:proofErr w:type="gramStart"/>
                  <w:r w:rsidRPr="000D6A10"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  <w:t xml:space="preserve">Figure </w:t>
                  </w:r>
                  <w:r w:rsidR="00EA7454" w:rsidRPr="000D6A10"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  <w:fldChar w:fldCharType="begin"/>
                  </w:r>
                  <w:r w:rsidRPr="000D6A10"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  <w:instrText xml:space="preserve"> SEQ Figure \* ARABIC </w:instrText>
                  </w:r>
                  <w:r w:rsidR="00EA7454" w:rsidRPr="000D6A10"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  <w:fldChar w:fldCharType="separate"/>
                  </w:r>
                  <w:r w:rsidRPr="000D6A10">
                    <w:rPr>
                      <w:rFonts w:cs="Arial"/>
                      <w:b w:val="0"/>
                      <w:noProof/>
                      <w:color w:val="auto"/>
                      <w:sz w:val="22"/>
                      <w:szCs w:val="22"/>
                    </w:rPr>
                    <w:t>1</w:t>
                  </w:r>
                  <w:r w:rsidR="00EA7454" w:rsidRPr="000D6A10"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  <w:fldChar w:fldCharType="end"/>
                  </w:r>
                  <w:r w:rsidRPr="000D6A10"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  <w:t>.</w:t>
                  </w:r>
                  <w:proofErr w:type="gramEnd"/>
                  <w:r w:rsidRPr="000D6A10">
                    <w:rPr>
                      <w:rFonts w:cs="Arial"/>
                      <w:b w:val="0"/>
                      <w:color w:val="auto"/>
                      <w:sz w:val="22"/>
                      <w:szCs w:val="22"/>
                    </w:rPr>
                    <w:t xml:space="preserve"> Workflow, MPA product specification development</w:t>
                  </w:r>
                </w:p>
              </w:txbxContent>
            </v:textbox>
          </v:shape>
        </w:pict>
      </w:r>
      <w:r>
        <w:pict w14:anchorId="1B02F67C">
          <v:shape id="_x0000_i1026" type="#_x0000_t75" style="width:481.9pt;height:20.65pt">
            <v:imagedata croptop="-65520f" cropbottom="65520f"/>
          </v:shape>
        </w:pict>
      </w:r>
    </w:p>
    <w:p w14:paraId="7153C2EF" w14:textId="77777777" w:rsidR="007851FB" w:rsidRDefault="007851FB" w:rsidP="00AF089B">
      <w:pPr>
        <w:pStyle w:val="BodyText"/>
      </w:pPr>
    </w:p>
    <w:p w14:paraId="356A4A21" w14:textId="77777777" w:rsidR="00A5221D" w:rsidRDefault="00A5221D" w:rsidP="00ED3C3C">
      <w:pPr>
        <w:pStyle w:val="Heading2"/>
        <w:keepNext/>
        <w:ind w:left="850" w:hanging="850"/>
      </w:pPr>
      <w:r>
        <w:lastRenderedPageBreak/>
        <w:t>Notes</w:t>
      </w:r>
    </w:p>
    <w:p w14:paraId="49AA9ED7" w14:textId="77777777" w:rsidR="00324AE2" w:rsidRDefault="00220501" w:rsidP="003E6980">
      <w:pPr>
        <w:pStyle w:val="BodyText"/>
      </w:pPr>
      <w:r>
        <w:t>The SNPWG Wiki acted as a substitute for the IHO GI registers.</w:t>
      </w:r>
    </w:p>
    <w:p w14:paraId="319C898E" w14:textId="77777777" w:rsidR="003E6980" w:rsidRDefault="003E6980" w:rsidP="003E6980">
      <w:pPr>
        <w:pStyle w:val="BodyText"/>
      </w:pPr>
      <w:r>
        <w:t xml:space="preserve">SNPWG developed examples of MPA symbolisation but this and a portrayal catalogue were not included in this version of the MPA </w:t>
      </w:r>
      <w:r w:rsidR="007D4B63">
        <w:t>product specification</w:t>
      </w:r>
      <w:r>
        <w:t xml:space="preserve">, because in S-100 edition 1.0.0 Part 9 (Portrayal) is currently just a placeholder. </w:t>
      </w:r>
    </w:p>
    <w:p w14:paraId="5D55D231" w14:textId="77777777" w:rsidR="001746DD" w:rsidRDefault="003E6980" w:rsidP="003E6980">
      <w:pPr>
        <w:pStyle w:val="BodyText"/>
      </w:pPr>
      <w:r>
        <w:t>The product delivery and metadata portions of the product specification, and their implementation in the sample datasets, are mostly derived from S-100 and were not customized for MPA.  “U</w:t>
      </w:r>
      <w:r w:rsidR="001746DD">
        <w:t xml:space="preserve">pdate” </w:t>
      </w:r>
      <w:r>
        <w:t>delivery and encoding</w:t>
      </w:r>
      <w:r w:rsidR="001746DD">
        <w:t xml:space="preserve"> </w:t>
      </w:r>
      <w:r>
        <w:t>were not</w:t>
      </w:r>
      <w:r w:rsidR="001746DD">
        <w:t xml:space="preserve"> </w:t>
      </w:r>
      <w:r w:rsidR="006A4302">
        <w:t>defined</w:t>
      </w:r>
      <w:r w:rsidR="001746DD">
        <w:t>.</w:t>
      </w:r>
    </w:p>
    <w:p w14:paraId="406D9830" w14:textId="77777777" w:rsidR="006A4302" w:rsidRDefault="00421AC7" w:rsidP="001F30CA">
      <w:pPr>
        <w:pStyle w:val="BodyText"/>
      </w:pPr>
      <w:r>
        <w:t>Tools</w:t>
      </w:r>
      <w:r w:rsidR="00F63863">
        <w:t xml:space="preserve"> exist</w:t>
      </w:r>
      <w:r w:rsidR="00BF5CBB">
        <w:t xml:space="preserve"> to generate </w:t>
      </w:r>
      <w:r>
        <w:t>XML</w:t>
      </w:r>
      <w:r w:rsidR="00F63863">
        <w:t xml:space="preserve"> schemas from UML models (exported from </w:t>
      </w:r>
      <w:r>
        <w:t>Enterprise Architect</w:t>
      </w:r>
      <w:r w:rsidR="00F63863">
        <w:t xml:space="preserve">) but will need adaptation </w:t>
      </w:r>
      <w:r>
        <w:t>to generate</w:t>
      </w:r>
      <w:r w:rsidR="00F63863">
        <w:t xml:space="preserve"> S-100 constructs.</w:t>
      </w:r>
    </w:p>
    <w:p w14:paraId="477442FA" w14:textId="77777777" w:rsidR="00A5221D" w:rsidRPr="00A5221D" w:rsidRDefault="00A5221D" w:rsidP="00A5221D">
      <w:pPr>
        <w:pStyle w:val="Heading2"/>
      </w:pPr>
      <w:r>
        <w:t>Lessons learned</w:t>
      </w:r>
    </w:p>
    <w:p w14:paraId="523A4CFB" w14:textId="77777777" w:rsidR="00F25BF4" w:rsidRDefault="001746DD" w:rsidP="00A5221D">
      <w:pPr>
        <w:pStyle w:val="List1"/>
        <w:numPr>
          <w:ilvl w:val="0"/>
          <w:numId w:val="0"/>
        </w:numPr>
      </w:pPr>
      <w:r>
        <w:t xml:space="preserve">Iterative development </w:t>
      </w:r>
      <w:r w:rsidR="00D06259">
        <w:t xml:space="preserve">is </w:t>
      </w:r>
      <w:r>
        <w:t>needed for the model and encoding – a model/test/refine cycle is appropriate for the ap</w:t>
      </w:r>
      <w:r w:rsidR="00D06259">
        <w:t>plication schema</w:t>
      </w:r>
      <w:r>
        <w:t xml:space="preserve"> and encoding, with testing</w:t>
      </w:r>
      <w:r w:rsidR="00D06259">
        <w:t xml:space="preserve"> being done</w:t>
      </w:r>
      <w:r>
        <w:t xml:space="preserve"> in the form of mapping sample data and conversion of the mapping to sample datasets. Further testing by use in sample applications is recommended, but </w:t>
      </w:r>
      <w:r w:rsidR="0082130F">
        <w:t xml:space="preserve">has not yet been </w:t>
      </w:r>
      <w:r>
        <w:t xml:space="preserve">done </w:t>
      </w:r>
      <w:r w:rsidR="007D4B63">
        <w:t xml:space="preserve">for </w:t>
      </w:r>
      <w:r>
        <w:t xml:space="preserve">the MPA </w:t>
      </w:r>
      <w:r w:rsidR="007D4B63">
        <w:t>product specification</w:t>
      </w:r>
      <w:r>
        <w:t>.</w:t>
      </w:r>
    </w:p>
    <w:p w14:paraId="21A8230F" w14:textId="77777777" w:rsidR="002F46E2" w:rsidRPr="00B56BDF" w:rsidRDefault="00180DDA" w:rsidP="002F46E2">
      <w:pPr>
        <w:pStyle w:val="Heading1"/>
      </w:pPr>
      <w:r>
        <w:t>References</w:t>
      </w:r>
    </w:p>
    <w:p w14:paraId="4A55C32D" w14:textId="77777777" w:rsidR="00180DDA" w:rsidRPr="00E76343" w:rsidRDefault="002F46E2" w:rsidP="00180DDA">
      <w:pPr>
        <w:pStyle w:val="References"/>
        <w:rPr>
          <w:lang w:val="nb-NO" w:eastAsia="de-DE"/>
        </w:rPr>
      </w:pPr>
      <w:bookmarkStart w:id="1" w:name="_Ref348513417"/>
      <w:r>
        <w:t xml:space="preserve">IHO Geospatial Standard for Marine Protected Areas. </w:t>
      </w:r>
      <w:r w:rsidR="004C5DA7" w:rsidRPr="004C5DA7">
        <w:rPr>
          <w:lang w:val="nb-NO"/>
        </w:rPr>
        <w:t xml:space="preserve">Draft 0.0.3. URL: </w:t>
      </w:r>
      <w:hyperlink r:id="rId9" w:history="1">
        <w:r w:rsidR="004C5DA7" w:rsidRPr="004C5DA7">
          <w:rPr>
            <w:rStyle w:val="Hyperlink"/>
            <w:lang w:val="nb-NO"/>
          </w:rPr>
          <w:t>http://www.iho.int/mtg_docs/com_wg/SNPWG/SNPWG15/SNPWG15-6.5C_MPA-PS_GML-Nov2012.pdf</w:t>
        </w:r>
      </w:hyperlink>
      <w:bookmarkEnd w:id="1"/>
    </w:p>
    <w:p w14:paraId="572D6F30" w14:textId="77777777" w:rsidR="002F46E2" w:rsidRDefault="002F46E2" w:rsidP="00180DDA">
      <w:pPr>
        <w:pStyle w:val="References"/>
        <w:rPr>
          <w:lang w:eastAsia="de-DE"/>
        </w:rPr>
      </w:pPr>
      <w:bookmarkStart w:id="2" w:name="_Ref348369299"/>
      <w:r>
        <w:t xml:space="preserve">SNPWG Feature Concept Dictionary development Wiki. URL: </w:t>
      </w:r>
      <w:hyperlink r:id="rId10" w:history="1">
        <w:r w:rsidR="00B0476B" w:rsidRPr="0095238A">
          <w:rPr>
            <w:rStyle w:val="Hyperlink"/>
          </w:rPr>
          <w:t>http://www.fuerstenberg-dhg.de/mediawiki/index.php/SNPWG</w:t>
        </w:r>
      </w:hyperlink>
      <w:bookmarkEnd w:id="2"/>
    </w:p>
    <w:p w14:paraId="050F561D" w14:textId="77777777" w:rsidR="00B0476B" w:rsidRPr="00180DDA" w:rsidRDefault="00B0476B" w:rsidP="00180DDA">
      <w:pPr>
        <w:pStyle w:val="References"/>
        <w:rPr>
          <w:lang w:eastAsia="de-DE"/>
        </w:rPr>
      </w:pPr>
      <w:bookmarkStart w:id="3" w:name="_Ref348512948"/>
      <w:r>
        <w:t>S-100 – Universal hydrographic data model, IHO Special Publication S-100, International Hydrographic Bureau, Monaco, ed. 1.0.0, January 2010.</w:t>
      </w:r>
      <w:bookmarkEnd w:id="3"/>
    </w:p>
    <w:p w14:paraId="38674990" w14:textId="77777777" w:rsidR="00A446C9" w:rsidRDefault="00A446C9" w:rsidP="00A446C9">
      <w:pPr>
        <w:pStyle w:val="Heading1"/>
      </w:pPr>
      <w:r>
        <w:t>Action requested of the Committee</w:t>
      </w:r>
    </w:p>
    <w:p w14:paraId="6D7DE789" w14:textId="77777777" w:rsidR="00294E11" w:rsidRDefault="00F25BF4" w:rsidP="007C6F91">
      <w:pPr>
        <w:pStyle w:val="BodyText"/>
      </w:pPr>
      <w:r>
        <w:t>The Committee is requested to:</w:t>
      </w:r>
    </w:p>
    <w:p w14:paraId="122864E3" w14:textId="77777777" w:rsidR="00F25BF4" w:rsidRDefault="00294E11" w:rsidP="007C6F91">
      <w:pPr>
        <w:pStyle w:val="BodyText"/>
      </w:pPr>
      <w:r>
        <w:t>1</w:t>
      </w:r>
      <w:r>
        <w:tab/>
      </w:r>
      <w:r w:rsidR="002F46E2">
        <w:t>note this paper</w:t>
      </w:r>
    </w:p>
    <w:p w14:paraId="32B32485" w14:textId="77777777" w:rsidR="004D1D85" w:rsidRPr="004D1D85" w:rsidRDefault="004D1D85" w:rsidP="0030437F">
      <w:pPr>
        <w:pStyle w:val="AnnexHeading3"/>
        <w:numPr>
          <w:ilvl w:val="0"/>
          <w:numId w:val="0"/>
        </w:numPr>
        <w:rPr>
          <w:lang w:eastAsia="en-US"/>
        </w:rPr>
      </w:pPr>
    </w:p>
    <w:sectPr w:rsidR="004D1D85" w:rsidRPr="004D1D85" w:rsidSect="0082480E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15B3D49" w14:textId="77777777" w:rsidR="005330A8" w:rsidRDefault="005330A8" w:rsidP="00362CD9">
      <w:r>
        <w:separator/>
      </w:r>
    </w:p>
  </w:endnote>
  <w:endnote w:type="continuationSeparator" w:id="0">
    <w:p w14:paraId="3DAE3C55" w14:textId="77777777" w:rsidR="005330A8" w:rsidRDefault="005330A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21DC" w14:textId="77777777" w:rsidR="00362CD9" w:rsidRDefault="00362CD9">
    <w:pPr>
      <w:pStyle w:val="Footer"/>
    </w:pPr>
    <w:r>
      <w:tab/>
    </w:r>
    <w:r w:rsidR="00EA7454">
      <w:fldChar w:fldCharType="begin"/>
    </w:r>
    <w:r>
      <w:instrText xml:space="preserve"> PAGE   \* MERGEFORMAT </w:instrText>
    </w:r>
    <w:r w:rsidR="00EA7454">
      <w:fldChar w:fldCharType="separate"/>
    </w:r>
    <w:r w:rsidR="00876952">
      <w:rPr>
        <w:noProof/>
      </w:rPr>
      <w:t>4</w:t>
    </w:r>
    <w:r w:rsidR="00EA7454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BB6B86E" w14:textId="77777777" w:rsidR="005330A8" w:rsidRDefault="005330A8" w:rsidP="00362CD9">
      <w:r>
        <w:separator/>
      </w:r>
    </w:p>
  </w:footnote>
  <w:footnote w:type="continuationSeparator" w:id="0">
    <w:p w14:paraId="00E515F5" w14:textId="77777777" w:rsidR="005330A8" w:rsidRDefault="005330A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3579C" w14:textId="77777777"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E820CE">
      <w:t>3</w:t>
    </w:r>
    <w:r w:rsidR="00A0389B">
      <w:t>/</w:t>
    </w:r>
    <w:r w:rsidR="00876952">
      <w:t>46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trackRevisions/>
  <w:defaultTabStop w:val="720"/>
  <w:drawingGridHorizontalSpacing w:val="115"/>
  <w:drawingGridVerticalSpacing w:val="187"/>
  <w:displayHorizontalDrawingGridEvery w:val="2"/>
  <w:displayVerticalDrawingGridEvery w:val="2"/>
  <w:characterSpacingControl w:val="doNotCompress"/>
  <w:hdrShapeDefaults>
    <o:shapedefaults v:ext="edit" spidmax="2050" fillcolor="none [664]">
      <v:fill color="none [664]"/>
      <v:textbox inset="0,0,0,0"/>
      <o:colormenu v:ext="edit" fillcolor="none [665]" strokecolor="none [3204]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82D"/>
    <w:rsid w:val="000005D3"/>
    <w:rsid w:val="00003D54"/>
    <w:rsid w:val="000128B3"/>
    <w:rsid w:val="00013F5D"/>
    <w:rsid w:val="0002282D"/>
    <w:rsid w:val="00023553"/>
    <w:rsid w:val="0004700E"/>
    <w:rsid w:val="00056E46"/>
    <w:rsid w:val="000638C1"/>
    <w:rsid w:val="00067AB9"/>
    <w:rsid w:val="00070C13"/>
    <w:rsid w:val="000813A5"/>
    <w:rsid w:val="00084F33"/>
    <w:rsid w:val="000A77A7"/>
    <w:rsid w:val="000B0D29"/>
    <w:rsid w:val="000C1B3E"/>
    <w:rsid w:val="000C7CBC"/>
    <w:rsid w:val="000D6709"/>
    <w:rsid w:val="000D6A10"/>
    <w:rsid w:val="000E2971"/>
    <w:rsid w:val="000F6A75"/>
    <w:rsid w:val="0016322E"/>
    <w:rsid w:val="001746DD"/>
    <w:rsid w:val="00177F4D"/>
    <w:rsid w:val="00180DDA"/>
    <w:rsid w:val="001A149C"/>
    <w:rsid w:val="001B2A2D"/>
    <w:rsid w:val="001B737D"/>
    <w:rsid w:val="001C44A3"/>
    <w:rsid w:val="001D774A"/>
    <w:rsid w:val="001F30CA"/>
    <w:rsid w:val="001F528A"/>
    <w:rsid w:val="001F704E"/>
    <w:rsid w:val="002125B0"/>
    <w:rsid w:val="00215B8E"/>
    <w:rsid w:val="00220501"/>
    <w:rsid w:val="002275E9"/>
    <w:rsid w:val="00227D6E"/>
    <w:rsid w:val="00243228"/>
    <w:rsid w:val="00251483"/>
    <w:rsid w:val="00255CAA"/>
    <w:rsid w:val="00264305"/>
    <w:rsid w:val="0027535C"/>
    <w:rsid w:val="00294E11"/>
    <w:rsid w:val="002A0346"/>
    <w:rsid w:val="002A4487"/>
    <w:rsid w:val="002B103C"/>
    <w:rsid w:val="002D2BA3"/>
    <w:rsid w:val="002D3E8B"/>
    <w:rsid w:val="002D4575"/>
    <w:rsid w:val="002D5C0C"/>
    <w:rsid w:val="002E6B74"/>
    <w:rsid w:val="002E7B13"/>
    <w:rsid w:val="002F46E2"/>
    <w:rsid w:val="0030437F"/>
    <w:rsid w:val="003216D6"/>
    <w:rsid w:val="00324AE2"/>
    <w:rsid w:val="00350EAC"/>
    <w:rsid w:val="003564C8"/>
    <w:rsid w:val="00356CD0"/>
    <w:rsid w:val="003574F5"/>
    <w:rsid w:val="00362CD9"/>
    <w:rsid w:val="0037256D"/>
    <w:rsid w:val="003761CA"/>
    <w:rsid w:val="00380DAF"/>
    <w:rsid w:val="003B28F5"/>
    <w:rsid w:val="003B7B7D"/>
    <w:rsid w:val="003C7A2A"/>
    <w:rsid w:val="003D69D0"/>
    <w:rsid w:val="003E6980"/>
    <w:rsid w:val="003F2918"/>
    <w:rsid w:val="003F430E"/>
    <w:rsid w:val="004075B4"/>
    <w:rsid w:val="00421AC7"/>
    <w:rsid w:val="00446B9E"/>
    <w:rsid w:val="00461C60"/>
    <w:rsid w:val="004661AD"/>
    <w:rsid w:val="0048575C"/>
    <w:rsid w:val="004917C2"/>
    <w:rsid w:val="004934C5"/>
    <w:rsid w:val="00496002"/>
    <w:rsid w:val="00497F0D"/>
    <w:rsid w:val="004C2120"/>
    <w:rsid w:val="004C5DA7"/>
    <w:rsid w:val="004D1D85"/>
    <w:rsid w:val="004D3C3A"/>
    <w:rsid w:val="004F4353"/>
    <w:rsid w:val="005078B7"/>
    <w:rsid w:val="005107EB"/>
    <w:rsid w:val="00516D15"/>
    <w:rsid w:val="00521345"/>
    <w:rsid w:val="00526DF0"/>
    <w:rsid w:val="005330A8"/>
    <w:rsid w:val="00545CC4"/>
    <w:rsid w:val="00551FFF"/>
    <w:rsid w:val="00552C22"/>
    <w:rsid w:val="005607A2"/>
    <w:rsid w:val="0056147B"/>
    <w:rsid w:val="00563A17"/>
    <w:rsid w:val="0057198B"/>
    <w:rsid w:val="005852EA"/>
    <w:rsid w:val="005910AA"/>
    <w:rsid w:val="005B32A3"/>
    <w:rsid w:val="005C566C"/>
    <w:rsid w:val="005C7E69"/>
    <w:rsid w:val="005E0139"/>
    <w:rsid w:val="005E262D"/>
    <w:rsid w:val="005F7E20"/>
    <w:rsid w:val="006121CF"/>
    <w:rsid w:val="00643884"/>
    <w:rsid w:val="00661BAC"/>
    <w:rsid w:val="006652C3"/>
    <w:rsid w:val="006671DB"/>
    <w:rsid w:val="00670B8D"/>
    <w:rsid w:val="00691FD0"/>
    <w:rsid w:val="006A4302"/>
    <w:rsid w:val="006C4ADA"/>
    <w:rsid w:val="006C5948"/>
    <w:rsid w:val="006D16C6"/>
    <w:rsid w:val="006E05A5"/>
    <w:rsid w:val="006F2A74"/>
    <w:rsid w:val="00707994"/>
    <w:rsid w:val="007118F5"/>
    <w:rsid w:val="00712AA4"/>
    <w:rsid w:val="00721AA1"/>
    <w:rsid w:val="00734E01"/>
    <w:rsid w:val="0074266C"/>
    <w:rsid w:val="00747648"/>
    <w:rsid w:val="007547F8"/>
    <w:rsid w:val="00756644"/>
    <w:rsid w:val="007645C7"/>
    <w:rsid w:val="00765622"/>
    <w:rsid w:val="00770B6C"/>
    <w:rsid w:val="007726E6"/>
    <w:rsid w:val="00783FEA"/>
    <w:rsid w:val="007851FB"/>
    <w:rsid w:val="00791802"/>
    <w:rsid w:val="00794C10"/>
    <w:rsid w:val="007A3ACE"/>
    <w:rsid w:val="007B5F35"/>
    <w:rsid w:val="007C24DE"/>
    <w:rsid w:val="007C6F91"/>
    <w:rsid w:val="007D4B63"/>
    <w:rsid w:val="007D6E7D"/>
    <w:rsid w:val="007E3C88"/>
    <w:rsid w:val="007F1453"/>
    <w:rsid w:val="0082130F"/>
    <w:rsid w:val="0082480E"/>
    <w:rsid w:val="00826B4C"/>
    <w:rsid w:val="008437A0"/>
    <w:rsid w:val="00850293"/>
    <w:rsid w:val="00851373"/>
    <w:rsid w:val="00851BA6"/>
    <w:rsid w:val="00855074"/>
    <w:rsid w:val="0085654D"/>
    <w:rsid w:val="00861160"/>
    <w:rsid w:val="00864FDA"/>
    <w:rsid w:val="00866B29"/>
    <w:rsid w:val="00876952"/>
    <w:rsid w:val="008924ED"/>
    <w:rsid w:val="008A4653"/>
    <w:rsid w:val="008A50CC"/>
    <w:rsid w:val="008A55F5"/>
    <w:rsid w:val="008B068B"/>
    <w:rsid w:val="008B278F"/>
    <w:rsid w:val="008D1694"/>
    <w:rsid w:val="008D79CB"/>
    <w:rsid w:val="008F07BC"/>
    <w:rsid w:val="009111F6"/>
    <w:rsid w:val="0092692B"/>
    <w:rsid w:val="00934176"/>
    <w:rsid w:val="00937BA0"/>
    <w:rsid w:val="00943E9C"/>
    <w:rsid w:val="00953F4D"/>
    <w:rsid w:val="00960BB8"/>
    <w:rsid w:val="009648B6"/>
    <w:rsid w:val="00964F5C"/>
    <w:rsid w:val="009827AC"/>
    <w:rsid w:val="009831C0"/>
    <w:rsid w:val="009A3FAF"/>
    <w:rsid w:val="009E1138"/>
    <w:rsid w:val="00A0389B"/>
    <w:rsid w:val="00A04B54"/>
    <w:rsid w:val="00A04F3A"/>
    <w:rsid w:val="00A446C9"/>
    <w:rsid w:val="00A5221D"/>
    <w:rsid w:val="00A556C8"/>
    <w:rsid w:val="00A635D6"/>
    <w:rsid w:val="00A658CA"/>
    <w:rsid w:val="00A81516"/>
    <w:rsid w:val="00A840BA"/>
    <w:rsid w:val="00A8553A"/>
    <w:rsid w:val="00A86AAE"/>
    <w:rsid w:val="00A93AED"/>
    <w:rsid w:val="00A957E6"/>
    <w:rsid w:val="00AC4D7C"/>
    <w:rsid w:val="00AD202A"/>
    <w:rsid w:val="00AD73CE"/>
    <w:rsid w:val="00AE13A1"/>
    <w:rsid w:val="00AF076A"/>
    <w:rsid w:val="00AF089B"/>
    <w:rsid w:val="00B0476B"/>
    <w:rsid w:val="00B167BC"/>
    <w:rsid w:val="00B20031"/>
    <w:rsid w:val="00B226F2"/>
    <w:rsid w:val="00B24989"/>
    <w:rsid w:val="00B26115"/>
    <w:rsid w:val="00B274DF"/>
    <w:rsid w:val="00B35A21"/>
    <w:rsid w:val="00B42C68"/>
    <w:rsid w:val="00B46A50"/>
    <w:rsid w:val="00B56BDF"/>
    <w:rsid w:val="00B66494"/>
    <w:rsid w:val="00B70B1D"/>
    <w:rsid w:val="00B85CD6"/>
    <w:rsid w:val="00B90A27"/>
    <w:rsid w:val="00B9554D"/>
    <w:rsid w:val="00BA324C"/>
    <w:rsid w:val="00BA337A"/>
    <w:rsid w:val="00BB2B9F"/>
    <w:rsid w:val="00BC410A"/>
    <w:rsid w:val="00BD126C"/>
    <w:rsid w:val="00BD3CB8"/>
    <w:rsid w:val="00BD4E6F"/>
    <w:rsid w:val="00BD5EF6"/>
    <w:rsid w:val="00BD7594"/>
    <w:rsid w:val="00BF4DCE"/>
    <w:rsid w:val="00BF5CBB"/>
    <w:rsid w:val="00C05CE5"/>
    <w:rsid w:val="00C07334"/>
    <w:rsid w:val="00C23032"/>
    <w:rsid w:val="00C401D1"/>
    <w:rsid w:val="00C60D57"/>
    <w:rsid w:val="00C6171E"/>
    <w:rsid w:val="00C82652"/>
    <w:rsid w:val="00CA2979"/>
    <w:rsid w:val="00CA6F2C"/>
    <w:rsid w:val="00CB70D1"/>
    <w:rsid w:val="00CD1018"/>
    <w:rsid w:val="00CD2D60"/>
    <w:rsid w:val="00CF1871"/>
    <w:rsid w:val="00D06259"/>
    <w:rsid w:val="00D1133E"/>
    <w:rsid w:val="00D17A34"/>
    <w:rsid w:val="00D26628"/>
    <w:rsid w:val="00D332B3"/>
    <w:rsid w:val="00D55207"/>
    <w:rsid w:val="00D617CF"/>
    <w:rsid w:val="00D92B45"/>
    <w:rsid w:val="00D95962"/>
    <w:rsid w:val="00DA707A"/>
    <w:rsid w:val="00DC389B"/>
    <w:rsid w:val="00DC7764"/>
    <w:rsid w:val="00DD2927"/>
    <w:rsid w:val="00DD4307"/>
    <w:rsid w:val="00DD5211"/>
    <w:rsid w:val="00DE2FEE"/>
    <w:rsid w:val="00E00BE9"/>
    <w:rsid w:val="00E22A11"/>
    <w:rsid w:val="00E55927"/>
    <w:rsid w:val="00E73E08"/>
    <w:rsid w:val="00E76343"/>
    <w:rsid w:val="00E820CE"/>
    <w:rsid w:val="00E82A7D"/>
    <w:rsid w:val="00E912A6"/>
    <w:rsid w:val="00E934E5"/>
    <w:rsid w:val="00E97ADD"/>
    <w:rsid w:val="00EA4844"/>
    <w:rsid w:val="00EA4D9C"/>
    <w:rsid w:val="00EA7454"/>
    <w:rsid w:val="00EB517B"/>
    <w:rsid w:val="00EB75EE"/>
    <w:rsid w:val="00ED3C3C"/>
    <w:rsid w:val="00EE10AC"/>
    <w:rsid w:val="00EE4C1D"/>
    <w:rsid w:val="00EE7806"/>
    <w:rsid w:val="00EE7963"/>
    <w:rsid w:val="00EF3685"/>
    <w:rsid w:val="00F04C46"/>
    <w:rsid w:val="00F1581C"/>
    <w:rsid w:val="00F159EB"/>
    <w:rsid w:val="00F213ED"/>
    <w:rsid w:val="00F23837"/>
    <w:rsid w:val="00F25BF4"/>
    <w:rsid w:val="00F267DB"/>
    <w:rsid w:val="00F36065"/>
    <w:rsid w:val="00F379F2"/>
    <w:rsid w:val="00F37ECF"/>
    <w:rsid w:val="00F42048"/>
    <w:rsid w:val="00F44BD7"/>
    <w:rsid w:val="00F46F6F"/>
    <w:rsid w:val="00F56D98"/>
    <w:rsid w:val="00F60608"/>
    <w:rsid w:val="00F62217"/>
    <w:rsid w:val="00F63863"/>
    <w:rsid w:val="00F732F1"/>
    <w:rsid w:val="00F77B4A"/>
    <w:rsid w:val="00F80372"/>
    <w:rsid w:val="00F94E56"/>
    <w:rsid w:val="00F97407"/>
    <w:rsid w:val="00FB1105"/>
    <w:rsid w:val="00FB17A9"/>
    <w:rsid w:val="00FB50D3"/>
    <w:rsid w:val="00FB6F75"/>
    <w:rsid w:val="00FC0EB3"/>
    <w:rsid w:val="00FC3D68"/>
    <w:rsid w:val="00FD476B"/>
    <w:rsid w:val="00FE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none [664]">
      <v:fill color="none [664]"/>
      <v:textbox inset="0,0,0,0"/>
      <o:colormenu v:ext="edit" fillcolor="none [665]" strokecolor="none [3204]" shadowcolor="none"/>
    </o:shapedefaults>
    <o:shapelayout v:ext="edit">
      <o:idmap v:ext="edit" data="1"/>
      <o:rules v:ext="edit">
        <o:r id="V:Rule30" type="connector" idref="#_x0000_s1100">
          <o:proxy start="" idref="#_x0000_s1098" connectloc="0"/>
          <o:proxy end="" idref="#_x0000_s1045" connectloc="2"/>
        </o:r>
        <o:r id="V:Rule31" type="connector" idref="#_x0000_s1064">
          <o:proxy start="" idref="#_x0000_s1044" connectloc="2"/>
          <o:proxy end="" idref="#_x0000_s1029" connectloc="0"/>
        </o:r>
        <o:r id="V:Rule32" type="connector" idref="#_x0000_s1089">
          <o:proxy start="" idref="#_x0000_s1056" connectloc="2"/>
          <o:proxy end="" idref="#_x0000_s1088" connectloc="1"/>
        </o:r>
        <o:r id="V:Rule33" type="connector" idref="#_x0000_s1054">
          <o:proxy start="" idref="#_x0000_s1043" connectloc="3"/>
          <o:proxy end="" idref="#_x0000_s1047" connectloc="1"/>
        </o:r>
        <o:r id="V:Rule34" type="connector" idref="#_x0000_s1055">
          <o:proxy start="" idref="#_x0000_s1043" connectloc="3"/>
          <o:proxy end="" idref="#_x0000_s1048" connectloc="1"/>
        </o:r>
        <o:r id="V:Rule35" type="connector" idref="#_x0000_s1096">
          <o:proxy start="" idref="#Webpage" connectloc="6"/>
        </o:r>
        <o:r id="V:Rule36" type="connector" idref="#_x0000_s1109">
          <o:proxy start="" idref="#_x0000_s1042" connectloc="2"/>
          <o:proxy end="" idref="#_x0000_s1108" connectloc="0"/>
        </o:r>
        <o:r id="V:Rule37" type="connector" idref="#_x0000_s1065">
          <o:proxy start="" idref="#_x0000_s1029" connectloc="2"/>
          <o:proxy end="" idref="#_x0000_s1043" connectloc="0"/>
        </o:r>
        <o:r id="V:Rule38" type="connector" idref="#_x0000_s1069">
          <o:proxy start="" idref="#_x0000_s1041" connectloc="2"/>
          <o:proxy end="" idref="#_x0000_s1042" connectloc="0"/>
        </o:r>
        <o:r id="V:Rule39" type="connector" idref="#_x0000_s1072">
          <o:proxy start="" idref="#_x0000_s1046" connectloc="2"/>
          <o:proxy end="" idref="#_x0000_s1045" connectloc="0"/>
        </o:r>
        <o:r id="V:Rule40" type="connector" idref="#_x0000_s1052">
          <o:proxy start="" idref="#_x0000_s1043" connectloc="3"/>
          <o:proxy end="" idref="#_x0000_s1045" connectloc="1"/>
        </o:r>
        <o:r id="V:Rule41" type="connector" idref="#_x0000_s1067">
          <o:proxy start="" idref="#_x0000_s1039" connectloc="2"/>
          <o:proxy end="" idref="#_x0000_s1040" connectloc="0"/>
        </o:r>
        <o:r id="V:Rule42" type="connector" idref="#_x0000_s1066">
          <o:proxy start="" idref="#_x0000_s1043" connectloc="2"/>
          <o:proxy end="" idref="#_x0000_s1039" connectloc="0"/>
        </o:r>
        <o:r id="V:Rule43" type="connector" idref="#_x0000_s1059">
          <o:proxy start="" idref="#_x0000_s1042" connectloc="3"/>
          <o:proxy end="" idref="#_x0000_s1056" connectloc="1"/>
        </o:r>
        <o:r id="V:Rule44" type="connector" idref="#_x0000_s1101">
          <o:proxy start="" idref="#_x0000_s1045" connectloc="3"/>
          <o:proxy end="" idref="#_x0000_s1047" connectloc="3"/>
        </o:r>
        <o:r id="V:Rule45" type="connector" idref="#_x0000_s1091">
          <o:proxy start="" idref="#_x0000_s1090" connectloc="3"/>
          <o:proxy end="" idref="#_x0000_s1029" connectloc="1"/>
        </o:r>
        <o:r id="V:Rule46" type="connector" idref="#_x0000_s1068">
          <o:proxy start="" idref="#_x0000_s1040" connectloc="2"/>
          <o:proxy end="" idref="#_x0000_s1041" connectloc="0"/>
        </o:r>
        <o:r id="V:Rule47" type="connector" idref="#_x0000_s1077">
          <o:proxy start="" idref="#_x0000_s1057" connectloc="2"/>
          <o:proxy end="" idref="#_x0000_s1056" connectloc="0"/>
        </o:r>
        <o:r id="V:Rule48" type="connector" idref="#_x0000_s1087">
          <o:proxy start="" idref="#_x0000_s1086" connectloc="1"/>
          <o:proxy end="" idref="#_x0000_s1057" connectloc="0"/>
        </o:r>
        <o:r id="V:Rule49" type="connector" idref="#_x0000_s1071">
          <o:proxy start="" idref="#_x0000_s1047" connectloc="2"/>
          <o:proxy end="" idref="#_x0000_s1046" connectloc="0"/>
        </o:r>
        <o:r id="V:Rule50" type="connector" idref="#_x0000_s1080">
          <o:proxy start="" idref="#_x0000_s1045" connectloc="3"/>
          <o:proxy end="" idref="#_x0000_s1048" connectloc="3"/>
        </o:r>
        <o:r id="V:Rule51" type="connector" idref="#_x0000_s1058">
          <o:proxy start="" idref="#_x0000_s1042" connectloc="3"/>
          <o:proxy end="" idref="#_x0000_s1057" connectloc="1"/>
        </o:r>
        <o:r id="V:Rule52" type="connector" idref="#_x0000_s1092">
          <o:proxy start="" idref="#_x0000_s1090" connectloc="3"/>
        </o:r>
        <o:r id="V:Rule53" type="connector" idref="#_x0000_s1099">
          <o:proxy start="" idref="#_x0000_s1043" connectloc="3"/>
          <o:proxy end="" idref="#_x0000_s1098" connectloc="1"/>
        </o:r>
        <o:r id="V:Rule54" type="connector" idref="#_x0000_s1102">
          <o:proxy start="" idref="#_x0000_s1045" connectloc="3"/>
          <o:proxy end="" idref="#_x0000_s1046" connectloc="3"/>
        </o:r>
        <o:r id="V:Rule55" type="connector" idref="#_x0000_s1081">
          <o:proxy start="" idref="#_x0000_s1108" connectloc="1"/>
          <o:proxy end="" idref="#_x0000_s1043" connectloc="1"/>
        </o:r>
        <o:r id="V:Rule56" type="connector" idref="#_x0000_s1112">
          <o:proxy start="" idref="#_x0000_s1108" connectloc="2"/>
          <o:proxy end="" idref="#_x0000_s1111" connectloc="0"/>
        </o:r>
        <o:r id="V:Rule57" type="connector" idref="#_x0000_s1053">
          <o:proxy start="" idref="#_x0000_s1043" connectloc="3"/>
          <o:proxy end="" idref="#_x0000_s1046" connectloc="1"/>
        </o:r>
        <o:r id="V:Rule58" type="connector" idref="#_x0000_s1070">
          <o:proxy start="" idref="#_x0000_s1048" connectloc="2"/>
          <o:proxy end="" idref="#_x0000_s1047" connectloc="0"/>
        </o:r>
      </o:rules>
    </o:shapelayout>
  </w:shapeDefaults>
  <w:decimalSymbol w:val="."/>
  <w:listSeparator w:val=","/>
  <w14:docId w14:val="6D09B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C776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4B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D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D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516D15"/>
    <w:pPr>
      <w:spacing w:after="200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0813A5"/>
    <w:rPr>
      <w:rFonts w:ascii="Arial" w:hAnsi="Arial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iho.int/mtg_docs/com_wg/SNPWG/SNPWG15/SNPWG15-6.5C_MPA-PS_GML-Nov2012.pdf" TargetMode="External"/><Relationship Id="rId10" Type="http://schemas.openxmlformats.org/officeDocument/2006/relationships/hyperlink" Target="http://www.fuerstenberg-dhg.de/mediawiki/index.php/SNPW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04F6034-EE99-DC40-B216-77B8ED77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1132</Words>
  <Characters>6453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Jeppesen Systems AB</Company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19</cp:revision>
  <dcterms:created xsi:type="dcterms:W3CDTF">2013-02-12T13:37:00Z</dcterms:created>
  <dcterms:modified xsi:type="dcterms:W3CDTF">2013-02-18T09:34:00Z</dcterms:modified>
</cp:coreProperties>
</file>